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165" w:rsidRPr="0074038C" w:rsidRDefault="00C92EBC" w:rsidP="00BF2165">
      <w:pPr>
        <w:jc w:val="center"/>
        <w:rPr>
          <w:b/>
          <w:sz w:val="28"/>
        </w:rPr>
      </w:pPr>
      <w:r>
        <w:rPr>
          <w:b/>
          <w:sz w:val="28"/>
        </w:rPr>
        <w:t>FEDAI</w:t>
      </w:r>
    </w:p>
    <w:p w:rsidR="00BF2165" w:rsidRDefault="00BF2165" w:rsidP="00BF2165">
      <w:pPr>
        <w:jc w:val="center"/>
      </w:pPr>
    </w:p>
    <w:tbl>
      <w:tblPr>
        <w:tblStyle w:val="TableGrid"/>
        <w:tblW w:w="0" w:type="auto"/>
        <w:tblInd w:w="0" w:type="dxa"/>
        <w:tblLook w:val="04A0" w:firstRow="1" w:lastRow="0" w:firstColumn="1" w:lastColumn="0" w:noHBand="0" w:noVBand="1"/>
      </w:tblPr>
      <w:tblGrid>
        <w:gridCol w:w="745"/>
        <w:gridCol w:w="8271"/>
      </w:tblGrid>
      <w:tr w:rsidR="00BF2165" w:rsidRPr="00B64439" w:rsidTr="00C92EBC">
        <w:tc>
          <w:tcPr>
            <w:tcW w:w="745" w:type="dxa"/>
            <w:tcBorders>
              <w:top w:val="single" w:sz="4" w:space="0" w:color="auto"/>
              <w:left w:val="single" w:sz="4" w:space="0" w:color="auto"/>
              <w:bottom w:val="single" w:sz="4" w:space="0" w:color="auto"/>
              <w:right w:val="single" w:sz="4" w:space="0" w:color="auto"/>
            </w:tcBorders>
            <w:hideMark/>
          </w:tcPr>
          <w:p w:rsidR="00BF2165" w:rsidRPr="00B64439" w:rsidRDefault="00BF2165">
            <w:pPr>
              <w:spacing w:line="240" w:lineRule="auto"/>
              <w:jc w:val="center"/>
              <w:rPr>
                <w:b/>
                <w:sz w:val="24"/>
              </w:rPr>
            </w:pPr>
            <w:proofErr w:type="spellStart"/>
            <w:r w:rsidRPr="00B64439">
              <w:rPr>
                <w:b/>
                <w:sz w:val="24"/>
              </w:rPr>
              <w:t>S.No</w:t>
            </w:r>
            <w:proofErr w:type="spellEnd"/>
            <w:r w:rsidRPr="00B64439">
              <w:rPr>
                <w:b/>
                <w:sz w:val="24"/>
              </w:rPr>
              <w:t>.</w:t>
            </w:r>
          </w:p>
        </w:tc>
        <w:tc>
          <w:tcPr>
            <w:tcW w:w="8271" w:type="dxa"/>
            <w:tcBorders>
              <w:top w:val="single" w:sz="4" w:space="0" w:color="auto"/>
              <w:left w:val="single" w:sz="4" w:space="0" w:color="auto"/>
              <w:bottom w:val="single" w:sz="4" w:space="0" w:color="auto"/>
              <w:right w:val="single" w:sz="4" w:space="0" w:color="auto"/>
            </w:tcBorders>
            <w:hideMark/>
          </w:tcPr>
          <w:p w:rsidR="00BF2165" w:rsidRPr="00B64439" w:rsidRDefault="00BF2165">
            <w:pPr>
              <w:spacing w:line="240" w:lineRule="auto"/>
              <w:jc w:val="center"/>
              <w:rPr>
                <w:b/>
                <w:sz w:val="24"/>
              </w:rPr>
            </w:pPr>
            <w:r w:rsidRPr="00B64439">
              <w:rPr>
                <w:b/>
                <w:sz w:val="24"/>
              </w:rPr>
              <w:t>RBI Notification</w:t>
            </w:r>
          </w:p>
        </w:tc>
      </w:tr>
      <w:tr w:rsidR="00C92EBC" w:rsidRPr="00B64439" w:rsidTr="00C92EBC">
        <w:tc>
          <w:tcPr>
            <w:tcW w:w="745"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pStyle w:val="ListParagraph"/>
              <w:numPr>
                <w:ilvl w:val="0"/>
                <w:numId w:val="1"/>
              </w:numPr>
              <w:spacing w:line="240" w:lineRule="auto"/>
              <w:jc w:val="both"/>
              <w:rPr>
                <w:sz w:val="24"/>
              </w:rPr>
            </w:pPr>
          </w:p>
        </w:tc>
        <w:tc>
          <w:tcPr>
            <w:tcW w:w="8271" w:type="dxa"/>
            <w:tcBorders>
              <w:top w:val="single" w:sz="4" w:space="0" w:color="auto"/>
              <w:left w:val="single" w:sz="4" w:space="0" w:color="auto"/>
              <w:bottom w:val="single" w:sz="4" w:space="0" w:color="auto"/>
              <w:right w:val="single" w:sz="4" w:space="0" w:color="auto"/>
            </w:tcBorders>
          </w:tcPr>
          <w:p w:rsidR="00C92EBC" w:rsidRPr="00C92EBC" w:rsidRDefault="00C92EBC" w:rsidP="00C92EBC">
            <w:pPr>
              <w:spacing w:line="240" w:lineRule="auto"/>
              <w:jc w:val="both"/>
              <w:rPr>
                <w:rFonts w:ascii="Calibri" w:hAnsi="Calibri" w:cs="Calibri"/>
                <w:color w:val="000000"/>
                <w:sz w:val="24"/>
                <w:szCs w:val="20"/>
              </w:rPr>
            </w:pPr>
            <w:r w:rsidRPr="00C92EBC">
              <w:rPr>
                <w:rFonts w:ascii="Calibri" w:hAnsi="Calibri" w:cs="Calibri"/>
                <w:color w:val="000000"/>
                <w:sz w:val="24"/>
                <w:szCs w:val="20"/>
              </w:rPr>
              <w:t>Master Direction on Interest Rate on Deposits - Foreign Currency (Non-resident) Accounts (Banks) Scheme [FCNR(B)] and Non-Resident (External) Rupee (NRE) Deposit</w:t>
            </w:r>
          </w:p>
        </w:tc>
      </w:tr>
      <w:tr w:rsidR="00C92EBC" w:rsidRPr="00B64439" w:rsidTr="00C92EBC">
        <w:tc>
          <w:tcPr>
            <w:tcW w:w="745"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pStyle w:val="ListParagraph"/>
              <w:numPr>
                <w:ilvl w:val="0"/>
                <w:numId w:val="1"/>
              </w:numPr>
              <w:spacing w:line="240" w:lineRule="auto"/>
              <w:jc w:val="both"/>
              <w:rPr>
                <w:sz w:val="24"/>
              </w:rPr>
            </w:pPr>
          </w:p>
        </w:tc>
        <w:tc>
          <w:tcPr>
            <w:tcW w:w="8271"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spacing w:line="240" w:lineRule="auto"/>
              <w:jc w:val="both"/>
              <w:rPr>
                <w:rFonts w:ascii="Calibri" w:hAnsi="Calibri" w:cs="Calibri"/>
                <w:color w:val="000000"/>
                <w:sz w:val="24"/>
                <w:szCs w:val="20"/>
              </w:rPr>
            </w:pPr>
            <w:r w:rsidRPr="00B64439">
              <w:rPr>
                <w:rFonts w:ascii="Calibri" w:hAnsi="Calibri" w:cs="Calibri"/>
                <w:color w:val="000000"/>
                <w:sz w:val="24"/>
                <w:szCs w:val="20"/>
              </w:rPr>
              <w:t>Overseas foreign currency borrowings of Authorised Dealer Category-I banks</w:t>
            </w:r>
          </w:p>
        </w:tc>
      </w:tr>
      <w:tr w:rsidR="00C92EBC" w:rsidRPr="00B64439" w:rsidTr="00C92EBC">
        <w:tc>
          <w:tcPr>
            <w:tcW w:w="745"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pStyle w:val="ListParagraph"/>
              <w:numPr>
                <w:ilvl w:val="0"/>
                <w:numId w:val="1"/>
              </w:numPr>
              <w:spacing w:line="240" w:lineRule="auto"/>
              <w:jc w:val="both"/>
              <w:rPr>
                <w:sz w:val="24"/>
              </w:rPr>
            </w:pPr>
          </w:p>
        </w:tc>
        <w:tc>
          <w:tcPr>
            <w:tcW w:w="8271"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spacing w:line="240" w:lineRule="auto"/>
              <w:jc w:val="both"/>
              <w:rPr>
                <w:sz w:val="24"/>
              </w:rPr>
            </w:pPr>
            <w:r w:rsidRPr="00B64439">
              <w:rPr>
                <w:sz w:val="24"/>
              </w:rPr>
              <w:t>International Trade Settlement in Indian Rupees (INR)</w:t>
            </w:r>
          </w:p>
        </w:tc>
      </w:tr>
      <w:tr w:rsidR="00C92EBC" w:rsidRPr="00B64439" w:rsidTr="00C92EBC">
        <w:tc>
          <w:tcPr>
            <w:tcW w:w="745"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pStyle w:val="ListParagraph"/>
              <w:numPr>
                <w:ilvl w:val="0"/>
                <w:numId w:val="1"/>
              </w:numPr>
              <w:spacing w:line="240" w:lineRule="auto"/>
              <w:jc w:val="both"/>
              <w:rPr>
                <w:sz w:val="24"/>
              </w:rPr>
            </w:pPr>
          </w:p>
        </w:tc>
        <w:tc>
          <w:tcPr>
            <w:tcW w:w="8271"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spacing w:line="240" w:lineRule="auto"/>
              <w:jc w:val="both"/>
              <w:rPr>
                <w:sz w:val="24"/>
              </w:rPr>
            </w:pPr>
            <w:r w:rsidRPr="00B64439">
              <w:rPr>
                <w:sz w:val="24"/>
              </w:rPr>
              <w:t>Foreign Exchange Management (Borrowing and Lending) (Amendment) Regulations, 2022</w:t>
            </w:r>
          </w:p>
        </w:tc>
      </w:tr>
      <w:tr w:rsidR="00C92EBC" w:rsidRPr="00B64439" w:rsidTr="00C92EBC">
        <w:tc>
          <w:tcPr>
            <w:tcW w:w="745"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pStyle w:val="ListParagraph"/>
              <w:numPr>
                <w:ilvl w:val="0"/>
                <w:numId w:val="1"/>
              </w:numPr>
              <w:spacing w:line="240" w:lineRule="auto"/>
              <w:jc w:val="both"/>
              <w:rPr>
                <w:sz w:val="24"/>
              </w:rPr>
            </w:pPr>
          </w:p>
        </w:tc>
        <w:tc>
          <w:tcPr>
            <w:tcW w:w="8271"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spacing w:line="240" w:lineRule="auto"/>
              <w:jc w:val="both"/>
              <w:rPr>
                <w:sz w:val="24"/>
              </w:rPr>
            </w:pPr>
            <w:r w:rsidRPr="00B64439">
              <w:rPr>
                <w:sz w:val="24"/>
              </w:rPr>
              <w:t>External Commercial Borrowings (ECB) Policy – Liberalisation Measures</w:t>
            </w:r>
          </w:p>
        </w:tc>
      </w:tr>
      <w:tr w:rsidR="00C92EBC" w:rsidRPr="00B64439" w:rsidTr="00C92EBC">
        <w:tc>
          <w:tcPr>
            <w:tcW w:w="745"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pStyle w:val="ListParagraph"/>
              <w:numPr>
                <w:ilvl w:val="0"/>
                <w:numId w:val="1"/>
              </w:numPr>
              <w:spacing w:line="240" w:lineRule="auto"/>
              <w:jc w:val="both"/>
              <w:rPr>
                <w:sz w:val="24"/>
              </w:rPr>
            </w:pPr>
          </w:p>
        </w:tc>
        <w:tc>
          <w:tcPr>
            <w:tcW w:w="8271"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spacing w:line="240" w:lineRule="auto"/>
              <w:jc w:val="both"/>
              <w:rPr>
                <w:sz w:val="24"/>
              </w:rPr>
            </w:pPr>
            <w:r w:rsidRPr="00B64439">
              <w:rPr>
                <w:sz w:val="24"/>
              </w:rPr>
              <w:t>Authorised Dealer Category-I License eligibility for Small Finance Banks</w:t>
            </w:r>
          </w:p>
        </w:tc>
      </w:tr>
      <w:tr w:rsidR="00C92EBC" w:rsidRPr="00B64439" w:rsidTr="00C92EBC">
        <w:tc>
          <w:tcPr>
            <w:tcW w:w="745"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pStyle w:val="ListParagraph"/>
              <w:numPr>
                <w:ilvl w:val="0"/>
                <w:numId w:val="1"/>
              </w:numPr>
              <w:spacing w:line="240" w:lineRule="auto"/>
              <w:jc w:val="both"/>
              <w:rPr>
                <w:sz w:val="24"/>
              </w:rPr>
            </w:pPr>
          </w:p>
        </w:tc>
        <w:tc>
          <w:tcPr>
            <w:tcW w:w="8271"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spacing w:line="240" w:lineRule="auto"/>
              <w:jc w:val="both"/>
              <w:rPr>
                <w:sz w:val="24"/>
              </w:rPr>
            </w:pPr>
            <w:r w:rsidRPr="00B64439">
              <w:rPr>
                <w:sz w:val="24"/>
              </w:rPr>
              <w:t>Rupee Interest Rate Derivatives (Reserve Bank) Directions – Review</w:t>
            </w:r>
          </w:p>
        </w:tc>
      </w:tr>
      <w:tr w:rsidR="00C92EBC" w:rsidRPr="00B64439" w:rsidTr="00C92EBC">
        <w:tc>
          <w:tcPr>
            <w:tcW w:w="745"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pStyle w:val="ListParagraph"/>
              <w:numPr>
                <w:ilvl w:val="0"/>
                <w:numId w:val="1"/>
              </w:numPr>
              <w:spacing w:line="240" w:lineRule="auto"/>
              <w:jc w:val="both"/>
              <w:rPr>
                <w:sz w:val="24"/>
              </w:rPr>
            </w:pPr>
          </w:p>
        </w:tc>
        <w:tc>
          <w:tcPr>
            <w:tcW w:w="8271"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spacing w:line="240" w:lineRule="auto"/>
              <w:jc w:val="both"/>
              <w:rPr>
                <w:sz w:val="24"/>
              </w:rPr>
            </w:pPr>
            <w:r w:rsidRPr="00B64439">
              <w:rPr>
                <w:sz w:val="24"/>
              </w:rPr>
              <w:t>Foreign Exchange Management (Overseas Investment) Regulations, 2022</w:t>
            </w:r>
          </w:p>
        </w:tc>
      </w:tr>
      <w:tr w:rsidR="00C92EBC" w:rsidRPr="00B64439" w:rsidTr="00C92EBC">
        <w:tc>
          <w:tcPr>
            <w:tcW w:w="745"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pStyle w:val="ListParagraph"/>
              <w:numPr>
                <w:ilvl w:val="0"/>
                <w:numId w:val="1"/>
              </w:numPr>
              <w:spacing w:line="240" w:lineRule="auto"/>
              <w:jc w:val="both"/>
              <w:rPr>
                <w:sz w:val="24"/>
              </w:rPr>
            </w:pPr>
          </w:p>
        </w:tc>
        <w:tc>
          <w:tcPr>
            <w:tcW w:w="8271"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spacing w:line="240" w:lineRule="auto"/>
              <w:jc w:val="both"/>
              <w:rPr>
                <w:rFonts w:ascii="Calibri" w:hAnsi="Calibri" w:cs="Calibri"/>
                <w:color w:val="000000"/>
                <w:sz w:val="24"/>
                <w:szCs w:val="20"/>
              </w:rPr>
            </w:pPr>
            <w:r w:rsidRPr="00B64439">
              <w:rPr>
                <w:rFonts w:ascii="Calibri" w:hAnsi="Calibri" w:cs="Calibri"/>
                <w:color w:val="000000"/>
                <w:sz w:val="24"/>
                <w:szCs w:val="20"/>
              </w:rPr>
              <w:t>Foreign Exchange Management (Overseas Investment) Directions, 2022</w:t>
            </w:r>
          </w:p>
        </w:tc>
      </w:tr>
      <w:tr w:rsidR="00C92EBC" w:rsidRPr="00B64439" w:rsidTr="00C92EBC">
        <w:tc>
          <w:tcPr>
            <w:tcW w:w="745"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pStyle w:val="ListParagraph"/>
              <w:numPr>
                <w:ilvl w:val="0"/>
                <w:numId w:val="1"/>
              </w:numPr>
              <w:spacing w:line="240" w:lineRule="auto"/>
              <w:jc w:val="both"/>
              <w:rPr>
                <w:sz w:val="24"/>
              </w:rPr>
            </w:pPr>
          </w:p>
        </w:tc>
        <w:tc>
          <w:tcPr>
            <w:tcW w:w="8271"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spacing w:line="240" w:lineRule="auto"/>
              <w:jc w:val="both"/>
              <w:rPr>
                <w:rFonts w:ascii="Calibri" w:hAnsi="Calibri" w:cs="Calibri"/>
                <w:color w:val="000000"/>
                <w:sz w:val="24"/>
                <w:szCs w:val="20"/>
              </w:rPr>
            </w:pPr>
            <w:r w:rsidRPr="00C92EBC">
              <w:rPr>
                <w:rFonts w:ascii="Calibri" w:hAnsi="Calibri" w:cs="Calibri"/>
                <w:color w:val="000000"/>
                <w:sz w:val="24"/>
                <w:szCs w:val="20"/>
              </w:rPr>
              <w:t>Master Directions on Interest Rate on Deposits</w:t>
            </w:r>
          </w:p>
        </w:tc>
      </w:tr>
      <w:tr w:rsidR="00C92EBC" w:rsidRPr="00B64439" w:rsidTr="00C92EBC">
        <w:tc>
          <w:tcPr>
            <w:tcW w:w="745"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pStyle w:val="ListParagraph"/>
              <w:numPr>
                <w:ilvl w:val="0"/>
                <w:numId w:val="1"/>
              </w:numPr>
              <w:spacing w:line="240" w:lineRule="auto"/>
              <w:jc w:val="both"/>
              <w:rPr>
                <w:sz w:val="24"/>
              </w:rPr>
            </w:pPr>
          </w:p>
        </w:tc>
        <w:tc>
          <w:tcPr>
            <w:tcW w:w="8271"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spacing w:line="240" w:lineRule="auto"/>
              <w:jc w:val="both"/>
              <w:rPr>
                <w:rFonts w:ascii="Calibri" w:hAnsi="Calibri" w:cs="Calibri"/>
                <w:color w:val="000000"/>
                <w:sz w:val="24"/>
                <w:szCs w:val="20"/>
              </w:rPr>
            </w:pPr>
            <w:r w:rsidRPr="00B64439">
              <w:rPr>
                <w:rFonts w:ascii="Calibri" w:hAnsi="Calibri" w:cs="Calibri"/>
                <w:color w:val="000000"/>
                <w:sz w:val="24"/>
                <w:szCs w:val="20"/>
              </w:rPr>
              <w:t>Late Submission Fee for reporting delays under Foreign Exchange Management Act, 1999 (FEMA)</w:t>
            </w:r>
          </w:p>
        </w:tc>
      </w:tr>
      <w:tr w:rsidR="00C92EBC" w:rsidRPr="00B64439" w:rsidTr="00C92EBC">
        <w:tc>
          <w:tcPr>
            <w:tcW w:w="745"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pStyle w:val="ListParagraph"/>
              <w:numPr>
                <w:ilvl w:val="0"/>
                <w:numId w:val="1"/>
              </w:numPr>
              <w:spacing w:line="240" w:lineRule="auto"/>
              <w:jc w:val="both"/>
              <w:rPr>
                <w:sz w:val="24"/>
              </w:rPr>
            </w:pPr>
          </w:p>
        </w:tc>
        <w:tc>
          <w:tcPr>
            <w:tcW w:w="8271"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spacing w:line="240" w:lineRule="auto"/>
              <w:jc w:val="both"/>
              <w:rPr>
                <w:rFonts w:ascii="Calibri" w:hAnsi="Calibri" w:cs="Calibri"/>
                <w:color w:val="000000"/>
                <w:sz w:val="24"/>
                <w:szCs w:val="20"/>
              </w:rPr>
            </w:pPr>
            <w:r w:rsidRPr="00C0370F">
              <w:rPr>
                <w:rFonts w:ascii="Calibri" w:hAnsi="Calibri" w:cs="Calibri"/>
                <w:color w:val="000000"/>
                <w:sz w:val="24"/>
                <w:szCs w:val="20"/>
              </w:rPr>
              <w:t>Reserve Bank of India (Unhedged Foreign Currency Exposure) Directions, 2022</w:t>
            </w:r>
          </w:p>
        </w:tc>
      </w:tr>
      <w:tr w:rsidR="00C92EBC" w:rsidRPr="00B64439" w:rsidTr="00C92EBC">
        <w:tc>
          <w:tcPr>
            <w:tcW w:w="745"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pStyle w:val="ListParagraph"/>
              <w:numPr>
                <w:ilvl w:val="0"/>
                <w:numId w:val="1"/>
              </w:numPr>
              <w:spacing w:line="240" w:lineRule="auto"/>
              <w:jc w:val="both"/>
              <w:rPr>
                <w:sz w:val="24"/>
              </w:rPr>
            </w:pPr>
          </w:p>
        </w:tc>
        <w:tc>
          <w:tcPr>
            <w:tcW w:w="8271"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spacing w:line="240" w:lineRule="auto"/>
              <w:jc w:val="both"/>
              <w:rPr>
                <w:rFonts w:ascii="Calibri" w:hAnsi="Calibri" w:cs="Calibri"/>
                <w:color w:val="000000"/>
                <w:sz w:val="24"/>
                <w:szCs w:val="20"/>
              </w:rPr>
            </w:pPr>
            <w:r w:rsidRPr="00B64439">
              <w:rPr>
                <w:rFonts w:ascii="Calibri" w:hAnsi="Calibri" w:cs="Calibri"/>
                <w:color w:val="000000"/>
                <w:sz w:val="24"/>
                <w:szCs w:val="20"/>
              </w:rPr>
              <w:t>Notification of Significant Benchmark</w:t>
            </w:r>
          </w:p>
        </w:tc>
      </w:tr>
      <w:tr w:rsidR="00C92EBC" w:rsidRPr="00B64439" w:rsidTr="00C92EBC">
        <w:tc>
          <w:tcPr>
            <w:tcW w:w="745"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pStyle w:val="ListParagraph"/>
              <w:numPr>
                <w:ilvl w:val="0"/>
                <w:numId w:val="1"/>
              </w:numPr>
              <w:spacing w:line="240" w:lineRule="auto"/>
              <w:jc w:val="both"/>
              <w:rPr>
                <w:sz w:val="24"/>
              </w:rPr>
            </w:pPr>
          </w:p>
        </w:tc>
        <w:tc>
          <w:tcPr>
            <w:tcW w:w="8271"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spacing w:line="240" w:lineRule="auto"/>
              <w:jc w:val="both"/>
              <w:rPr>
                <w:rFonts w:ascii="Calibri" w:hAnsi="Calibri" w:cs="Calibri"/>
                <w:color w:val="000000"/>
                <w:sz w:val="24"/>
                <w:szCs w:val="20"/>
              </w:rPr>
            </w:pPr>
            <w:r w:rsidRPr="00B64439">
              <w:rPr>
                <w:rFonts w:ascii="Calibri" w:hAnsi="Calibri" w:cs="Calibri"/>
                <w:color w:val="000000"/>
                <w:sz w:val="24"/>
                <w:szCs w:val="20"/>
              </w:rPr>
              <w:t xml:space="preserve">Operations of subsidiaries and branches of Indian banks and All India Financial Institutions (AIFIs) in foreign jurisdictions and in International Financial Services </w:t>
            </w:r>
            <w:proofErr w:type="spellStart"/>
            <w:r w:rsidRPr="00B64439">
              <w:rPr>
                <w:rFonts w:ascii="Calibri" w:hAnsi="Calibri" w:cs="Calibri"/>
                <w:color w:val="000000"/>
                <w:sz w:val="24"/>
                <w:szCs w:val="20"/>
              </w:rPr>
              <w:t>Centers</w:t>
            </w:r>
            <w:proofErr w:type="spellEnd"/>
            <w:r w:rsidRPr="00B64439">
              <w:rPr>
                <w:rFonts w:ascii="Calibri" w:hAnsi="Calibri" w:cs="Calibri"/>
                <w:color w:val="000000"/>
                <w:sz w:val="24"/>
                <w:szCs w:val="20"/>
              </w:rPr>
              <w:t xml:space="preserve"> (IFSCs) - Compliance with statutory/regulatory norms</w:t>
            </w:r>
          </w:p>
        </w:tc>
      </w:tr>
      <w:tr w:rsidR="00C92EBC" w:rsidRPr="00B64439" w:rsidTr="00C92EBC">
        <w:tc>
          <w:tcPr>
            <w:tcW w:w="745"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pStyle w:val="ListParagraph"/>
              <w:numPr>
                <w:ilvl w:val="0"/>
                <w:numId w:val="1"/>
              </w:numPr>
              <w:spacing w:line="240" w:lineRule="auto"/>
              <w:jc w:val="both"/>
              <w:rPr>
                <w:sz w:val="24"/>
              </w:rPr>
            </w:pPr>
          </w:p>
        </w:tc>
        <w:tc>
          <w:tcPr>
            <w:tcW w:w="8271"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spacing w:line="240" w:lineRule="auto"/>
              <w:jc w:val="both"/>
              <w:rPr>
                <w:rFonts w:ascii="Calibri" w:hAnsi="Calibri" w:cs="Calibri"/>
                <w:color w:val="000000"/>
                <w:sz w:val="24"/>
                <w:szCs w:val="20"/>
              </w:rPr>
            </w:pPr>
            <w:r w:rsidRPr="00B64439">
              <w:rPr>
                <w:rFonts w:ascii="Calibri" w:hAnsi="Calibri" w:cs="Calibri"/>
                <w:color w:val="000000"/>
                <w:sz w:val="24"/>
                <w:szCs w:val="20"/>
              </w:rPr>
              <w:t>Hedging of Gold Price Risk in Overseas Markets</w:t>
            </w:r>
          </w:p>
        </w:tc>
      </w:tr>
      <w:tr w:rsidR="00C92EBC" w:rsidRPr="00B64439" w:rsidTr="00C92EBC">
        <w:tc>
          <w:tcPr>
            <w:tcW w:w="745"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pStyle w:val="ListParagraph"/>
              <w:numPr>
                <w:ilvl w:val="0"/>
                <w:numId w:val="1"/>
              </w:numPr>
              <w:spacing w:line="240" w:lineRule="auto"/>
              <w:jc w:val="both"/>
              <w:rPr>
                <w:sz w:val="24"/>
              </w:rPr>
            </w:pPr>
          </w:p>
        </w:tc>
        <w:tc>
          <w:tcPr>
            <w:tcW w:w="8271"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spacing w:line="240" w:lineRule="auto"/>
              <w:jc w:val="both"/>
              <w:rPr>
                <w:rFonts w:ascii="Calibri" w:hAnsi="Calibri" w:cs="Calibri"/>
                <w:color w:val="000000"/>
                <w:sz w:val="24"/>
                <w:szCs w:val="20"/>
              </w:rPr>
            </w:pPr>
            <w:r w:rsidRPr="00B64439">
              <w:rPr>
                <w:rFonts w:ascii="Calibri" w:hAnsi="Calibri" w:cs="Calibri"/>
                <w:color w:val="000000"/>
                <w:sz w:val="24"/>
                <w:szCs w:val="20"/>
              </w:rPr>
              <w:t>Master Direction – Foreign Exchange Management (Hedging of Commodity Price Risk and Freight Risk in Overseas Markets) Directions, 2022</w:t>
            </w:r>
          </w:p>
        </w:tc>
      </w:tr>
    </w:tbl>
    <w:p w:rsidR="00BF2165" w:rsidRDefault="00BF2165" w:rsidP="00BF2165">
      <w:pPr>
        <w:jc w:val="both"/>
      </w:pPr>
    </w:p>
    <w:p w:rsidR="00C0370F" w:rsidRDefault="00C0370F" w:rsidP="00C0370F">
      <w:pPr>
        <w:spacing w:line="259" w:lineRule="auto"/>
      </w:pPr>
    </w:p>
    <w:p w:rsidR="00C0370F" w:rsidRDefault="00C0370F" w:rsidP="00C0370F">
      <w:pPr>
        <w:spacing w:line="259" w:lineRule="auto"/>
      </w:pPr>
    </w:p>
    <w:p w:rsidR="00C0370F" w:rsidRDefault="00C0370F" w:rsidP="00C0370F">
      <w:pPr>
        <w:spacing w:line="259" w:lineRule="auto"/>
      </w:pPr>
    </w:p>
    <w:p w:rsidR="00C0370F" w:rsidRDefault="00C0370F" w:rsidP="00C0370F">
      <w:pPr>
        <w:spacing w:line="259" w:lineRule="auto"/>
      </w:pPr>
    </w:p>
    <w:p w:rsidR="00C0370F" w:rsidRDefault="00C0370F" w:rsidP="00C0370F">
      <w:pPr>
        <w:spacing w:line="259" w:lineRule="auto"/>
      </w:pPr>
    </w:p>
    <w:p w:rsidR="00C0370F" w:rsidRDefault="00C0370F" w:rsidP="00C0370F">
      <w:pPr>
        <w:spacing w:line="259" w:lineRule="auto"/>
      </w:pPr>
    </w:p>
    <w:p w:rsidR="00C0370F" w:rsidRDefault="00C0370F" w:rsidP="00C0370F">
      <w:pPr>
        <w:spacing w:line="259" w:lineRule="auto"/>
      </w:pPr>
    </w:p>
    <w:p w:rsidR="00C0370F" w:rsidRDefault="00C0370F" w:rsidP="00C0370F">
      <w:pPr>
        <w:spacing w:line="259" w:lineRule="auto"/>
      </w:pPr>
    </w:p>
    <w:p w:rsidR="00C0370F" w:rsidRDefault="00C0370F" w:rsidP="00C0370F">
      <w:pPr>
        <w:spacing w:line="259" w:lineRule="auto"/>
      </w:pPr>
    </w:p>
    <w:p w:rsidR="00C0370F" w:rsidRDefault="00C0370F" w:rsidP="00C0370F">
      <w:pPr>
        <w:spacing w:line="259" w:lineRule="auto"/>
      </w:pPr>
    </w:p>
    <w:p w:rsidR="00C0370F" w:rsidRDefault="00C0370F" w:rsidP="00C0370F">
      <w:pPr>
        <w:spacing w:line="259" w:lineRule="auto"/>
      </w:pPr>
    </w:p>
    <w:p w:rsidR="00C0370F" w:rsidRDefault="00C0370F" w:rsidP="00C0370F">
      <w:pPr>
        <w:spacing w:line="259" w:lineRule="auto"/>
      </w:pPr>
    </w:p>
    <w:p w:rsidR="00C92EBC" w:rsidRDefault="00C92EBC" w:rsidP="00C92EBC">
      <w:pPr>
        <w:spacing w:line="259" w:lineRule="auto"/>
        <w:rPr>
          <w:rFonts w:ascii="Arial" w:hAnsi="Arial" w:cs="Arial"/>
          <w:b/>
          <w:bCs/>
          <w:color w:val="000000"/>
          <w:sz w:val="20"/>
          <w:szCs w:val="20"/>
        </w:rPr>
      </w:pPr>
      <w:r>
        <w:rPr>
          <w:rFonts w:ascii="Arial" w:hAnsi="Arial" w:cs="Arial"/>
          <w:b/>
          <w:bCs/>
          <w:color w:val="000000"/>
          <w:sz w:val="20"/>
          <w:szCs w:val="20"/>
        </w:rPr>
        <w:lastRenderedPageBreak/>
        <w:t>Master Direction on Interest Rate on Deposits - Foreign Currency (Non-resident) Accounts (Banks) Scheme [FCNR(B)] and Non-Resident (External) Rupee (NRE) Deposit</w:t>
      </w:r>
    </w:p>
    <w:p w:rsidR="00C92EBC" w:rsidRDefault="00C92EBC" w:rsidP="00C92EBC">
      <w:pPr>
        <w:pStyle w:val="NormalWeb"/>
        <w:rPr>
          <w:rFonts w:ascii="Arial" w:hAnsi="Arial" w:cs="Arial"/>
          <w:color w:val="000000"/>
          <w:sz w:val="20"/>
          <w:szCs w:val="20"/>
        </w:rPr>
      </w:pPr>
      <w:r>
        <w:rPr>
          <w:rFonts w:ascii="Arial" w:hAnsi="Arial" w:cs="Arial"/>
          <w:color w:val="000000"/>
          <w:sz w:val="20"/>
          <w:szCs w:val="20"/>
        </w:rPr>
        <w:t>RBI/2022-23/82</w:t>
      </w:r>
      <w:r>
        <w:rPr>
          <w:rFonts w:ascii="Arial" w:hAnsi="Arial" w:cs="Arial"/>
          <w:color w:val="000000"/>
          <w:sz w:val="20"/>
          <w:szCs w:val="20"/>
        </w:rPr>
        <w:br/>
        <w:t>DOR.SOG (SPE).</w:t>
      </w:r>
      <w:proofErr w:type="spellStart"/>
      <w:r>
        <w:rPr>
          <w:rFonts w:ascii="Arial" w:hAnsi="Arial" w:cs="Arial"/>
          <w:color w:val="000000"/>
          <w:sz w:val="20"/>
          <w:szCs w:val="20"/>
        </w:rPr>
        <w:t>REC.No</w:t>
      </w:r>
      <w:proofErr w:type="spellEnd"/>
      <w:r>
        <w:rPr>
          <w:rFonts w:ascii="Arial" w:hAnsi="Arial" w:cs="Arial"/>
          <w:color w:val="000000"/>
          <w:sz w:val="20"/>
          <w:szCs w:val="20"/>
        </w:rPr>
        <w:t xml:space="preserve"> 53/13.03.000/2022-23</w:t>
      </w:r>
    </w:p>
    <w:p w:rsidR="00C92EBC" w:rsidRDefault="00C92EBC" w:rsidP="00C92EBC">
      <w:pPr>
        <w:pStyle w:val="NormalWeb"/>
        <w:jc w:val="right"/>
        <w:rPr>
          <w:rFonts w:ascii="Arial" w:hAnsi="Arial" w:cs="Arial"/>
          <w:color w:val="000000"/>
          <w:sz w:val="20"/>
          <w:szCs w:val="20"/>
        </w:rPr>
      </w:pPr>
      <w:r>
        <w:rPr>
          <w:rFonts w:ascii="Arial" w:hAnsi="Arial" w:cs="Arial"/>
          <w:color w:val="000000"/>
          <w:sz w:val="20"/>
          <w:szCs w:val="20"/>
        </w:rPr>
        <w:t>July 06, 2022</w:t>
      </w:r>
    </w:p>
    <w:p w:rsidR="00C92EBC" w:rsidRDefault="00C92EBC" w:rsidP="00C92EBC">
      <w:pPr>
        <w:pStyle w:val="NormalWeb"/>
        <w:rPr>
          <w:rFonts w:ascii="Arial" w:hAnsi="Arial" w:cs="Arial"/>
          <w:color w:val="000000"/>
          <w:sz w:val="20"/>
          <w:szCs w:val="20"/>
        </w:rPr>
      </w:pPr>
      <w:r>
        <w:rPr>
          <w:rFonts w:ascii="Arial" w:hAnsi="Arial" w:cs="Arial"/>
          <w:color w:val="000000"/>
          <w:sz w:val="20"/>
          <w:szCs w:val="20"/>
        </w:rPr>
        <w:t>All Scheduled Commercial Banks (including Regional Rural Banks)</w:t>
      </w:r>
      <w:r>
        <w:rPr>
          <w:rFonts w:ascii="Arial" w:hAnsi="Arial" w:cs="Arial"/>
          <w:color w:val="000000"/>
          <w:sz w:val="20"/>
          <w:szCs w:val="20"/>
        </w:rPr>
        <w:br/>
        <w:t>All Small Finance Banks</w:t>
      </w:r>
      <w:r>
        <w:rPr>
          <w:rFonts w:ascii="Arial" w:hAnsi="Arial" w:cs="Arial"/>
          <w:color w:val="000000"/>
          <w:sz w:val="20"/>
          <w:szCs w:val="20"/>
        </w:rPr>
        <w:br/>
        <w:t>All Local Area Banks</w:t>
      </w:r>
      <w:r>
        <w:rPr>
          <w:rFonts w:ascii="Arial" w:hAnsi="Arial" w:cs="Arial"/>
          <w:color w:val="000000"/>
          <w:sz w:val="20"/>
          <w:szCs w:val="20"/>
        </w:rPr>
        <w:br/>
        <w:t>All Payment Banks</w:t>
      </w:r>
      <w:r>
        <w:rPr>
          <w:rFonts w:ascii="Arial" w:hAnsi="Arial" w:cs="Arial"/>
          <w:color w:val="000000"/>
          <w:sz w:val="20"/>
          <w:szCs w:val="20"/>
        </w:rPr>
        <w:br/>
        <w:t>All Primary (Urban) Co-operative Banks/ DCCBs /State Cooperative Banks</w:t>
      </w:r>
    </w:p>
    <w:p w:rsidR="00C92EBC" w:rsidRDefault="00C92EBC" w:rsidP="00C92EBC">
      <w:pPr>
        <w:pStyle w:val="NormalWeb"/>
        <w:rPr>
          <w:rFonts w:ascii="Arial" w:hAnsi="Arial" w:cs="Arial"/>
          <w:color w:val="000000"/>
          <w:sz w:val="20"/>
          <w:szCs w:val="20"/>
        </w:rPr>
      </w:pPr>
      <w:r>
        <w:rPr>
          <w:rFonts w:ascii="Arial" w:hAnsi="Arial" w:cs="Arial"/>
          <w:color w:val="000000"/>
          <w:sz w:val="20"/>
          <w:szCs w:val="20"/>
        </w:rPr>
        <w:t>Dear Sir / Madam,</w:t>
      </w:r>
    </w:p>
    <w:p w:rsidR="00C92EBC" w:rsidRDefault="00C92EBC" w:rsidP="00C92EBC">
      <w:pPr>
        <w:pStyle w:val="head"/>
        <w:rPr>
          <w:rFonts w:ascii="Arial" w:hAnsi="Arial" w:cs="Arial"/>
          <w:b/>
          <w:bCs/>
          <w:color w:val="000000"/>
          <w:sz w:val="20"/>
          <w:szCs w:val="20"/>
        </w:rPr>
      </w:pPr>
      <w:r>
        <w:rPr>
          <w:rFonts w:ascii="Arial" w:hAnsi="Arial" w:cs="Arial"/>
          <w:b/>
          <w:bCs/>
          <w:color w:val="000000"/>
          <w:sz w:val="20"/>
          <w:szCs w:val="20"/>
        </w:rPr>
        <w:t>Master Direction on Interest Rate on Deposits - Foreign Currency (Non-resident) Accounts (Banks) Scheme [FCNR(B)] and Non-Resident (External) Rupee (NRE) Deposit</w:t>
      </w:r>
    </w:p>
    <w:p w:rsidR="00C92EBC" w:rsidRDefault="00C92EBC" w:rsidP="00C92EBC">
      <w:pPr>
        <w:pStyle w:val="NormalWeb"/>
        <w:rPr>
          <w:rFonts w:ascii="Arial" w:hAnsi="Arial" w:cs="Arial"/>
          <w:color w:val="000000"/>
          <w:sz w:val="20"/>
          <w:szCs w:val="20"/>
        </w:rPr>
      </w:pPr>
      <w:r>
        <w:rPr>
          <w:rFonts w:ascii="Arial" w:hAnsi="Arial" w:cs="Arial"/>
          <w:color w:val="000000"/>
          <w:sz w:val="20"/>
          <w:szCs w:val="20"/>
        </w:rPr>
        <w:t>Please refer to the instructions regarding interest rates on FCNR (B) deposits contained in Section 19 of the </w:t>
      </w:r>
      <w:hyperlink r:id="rId6" w:tgtFrame="_blank" w:history="1">
        <w:r>
          <w:rPr>
            <w:rStyle w:val="Hyperlink"/>
            <w:rFonts w:ascii="Arial" w:hAnsi="Arial" w:cs="Arial"/>
            <w:sz w:val="20"/>
            <w:szCs w:val="20"/>
          </w:rPr>
          <w:t>Master Direction (MD) on Interest Rate on Deposits dated March 03, 2016</w:t>
        </w:r>
      </w:hyperlink>
      <w:r>
        <w:rPr>
          <w:rFonts w:ascii="Arial" w:hAnsi="Arial" w:cs="Arial"/>
          <w:color w:val="000000"/>
          <w:sz w:val="20"/>
          <w:szCs w:val="20"/>
        </w:rPr>
        <w:t> and Section 18 of the </w:t>
      </w:r>
      <w:hyperlink r:id="rId7" w:tgtFrame="_blank" w:history="1">
        <w:r>
          <w:rPr>
            <w:rStyle w:val="Hyperlink"/>
            <w:rFonts w:ascii="Arial" w:hAnsi="Arial" w:cs="Arial"/>
            <w:sz w:val="20"/>
            <w:szCs w:val="20"/>
          </w:rPr>
          <w:t>Master Direction (MD) on Interest Rate on Deposits dated May 12, 2016</w:t>
        </w:r>
      </w:hyperlink>
      <w:r>
        <w:rPr>
          <w:rFonts w:ascii="Arial" w:hAnsi="Arial" w:cs="Arial"/>
          <w:color w:val="000000"/>
          <w:sz w:val="20"/>
          <w:szCs w:val="20"/>
        </w:rPr>
        <w:t>. In this connection, banks are advised that with effect from July 07, 2022, the interest rate ceiling applicable to FCNR (B) deposits is being temporarily withdrawn for incremental FCNR (B) deposits mobilized by banks for the period until October 31, 2022.</w:t>
      </w:r>
    </w:p>
    <w:p w:rsidR="00C92EBC" w:rsidRDefault="00C92EBC" w:rsidP="00C92EBC">
      <w:pPr>
        <w:pStyle w:val="NormalWeb"/>
        <w:rPr>
          <w:rFonts w:ascii="Arial" w:hAnsi="Arial" w:cs="Arial"/>
          <w:color w:val="000000"/>
          <w:sz w:val="20"/>
          <w:szCs w:val="20"/>
        </w:rPr>
      </w:pPr>
      <w:r>
        <w:rPr>
          <w:rFonts w:ascii="Arial" w:hAnsi="Arial" w:cs="Arial"/>
          <w:color w:val="000000"/>
          <w:sz w:val="20"/>
          <w:szCs w:val="20"/>
        </w:rPr>
        <w:t>2. Further, in terms of Section 15 (d) and Section 14 (d) of the above-mentioned MDs respectively, interest rates on NRE deposits shall not be higher than those offered by the banks on comparable domestic rupee term deposits. In this regard, the said restriction with respect to interest rates offered on incremental NRE deposits mobilized by banks shall be temporarily withdrawn with effect from July 07, 2022, for the period until October 31, 2022. The above relaxation shall not be applicable to Ordinary Non-Resident (NRO) Deposits.</w:t>
      </w:r>
    </w:p>
    <w:p w:rsidR="00C92EBC" w:rsidRDefault="00C92EBC" w:rsidP="00C92EBC">
      <w:pPr>
        <w:pStyle w:val="NormalWeb"/>
        <w:rPr>
          <w:rFonts w:ascii="Arial" w:hAnsi="Arial" w:cs="Arial"/>
          <w:color w:val="000000"/>
          <w:sz w:val="20"/>
          <w:szCs w:val="20"/>
        </w:rPr>
      </w:pPr>
      <w:r>
        <w:rPr>
          <w:rFonts w:ascii="Arial" w:hAnsi="Arial" w:cs="Arial"/>
          <w:color w:val="000000"/>
          <w:sz w:val="20"/>
          <w:szCs w:val="20"/>
        </w:rPr>
        <w:t>3. These concessions will be subject to review.</w:t>
      </w:r>
    </w:p>
    <w:p w:rsidR="00C92EBC" w:rsidRDefault="00C92EBC" w:rsidP="00C92EBC">
      <w:pPr>
        <w:pStyle w:val="NormalWeb"/>
        <w:rPr>
          <w:rFonts w:ascii="Arial" w:hAnsi="Arial" w:cs="Arial"/>
          <w:color w:val="000000"/>
          <w:sz w:val="20"/>
          <w:szCs w:val="20"/>
        </w:rPr>
      </w:pPr>
      <w:r>
        <w:rPr>
          <w:rFonts w:ascii="Arial" w:hAnsi="Arial" w:cs="Arial"/>
          <w:color w:val="000000"/>
          <w:sz w:val="20"/>
          <w:szCs w:val="20"/>
        </w:rPr>
        <w:t>4. All other instructions in this regard shall remain unchanged.</w:t>
      </w:r>
    </w:p>
    <w:p w:rsidR="00C92EBC" w:rsidRDefault="00C92EBC" w:rsidP="00C92EBC">
      <w:pPr>
        <w:pStyle w:val="NormalWeb"/>
        <w:rPr>
          <w:rFonts w:ascii="Arial" w:hAnsi="Arial" w:cs="Arial"/>
          <w:color w:val="000000"/>
          <w:sz w:val="20"/>
          <w:szCs w:val="20"/>
        </w:rPr>
      </w:pPr>
      <w:r>
        <w:rPr>
          <w:rFonts w:ascii="Arial" w:hAnsi="Arial" w:cs="Arial"/>
          <w:color w:val="000000"/>
          <w:sz w:val="20"/>
          <w:szCs w:val="20"/>
        </w:rPr>
        <w:t>Yours faithfully,</w:t>
      </w:r>
    </w:p>
    <w:p w:rsidR="00C92EBC" w:rsidRDefault="00C92EBC" w:rsidP="00C92EBC">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t>)</w:t>
      </w:r>
      <w:r>
        <w:rPr>
          <w:rFonts w:ascii="Arial" w:hAnsi="Arial" w:cs="Arial"/>
          <w:color w:val="000000"/>
          <w:sz w:val="20"/>
          <w:szCs w:val="20"/>
        </w:rPr>
        <w:br/>
        <w:t>Chief General Manager</w:t>
      </w:r>
    </w:p>
    <w:p w:rsidR="00C92EBC" w:rsidRDefault="00C92EBC" w:rsidP="00C92EBC">
      <w:pPr>
        <w:spacing w:line="259" w:lineRule="auto"/>
        <w:rPr>
          <w:rFonts w:ascii="Arial" w:hAnsi="Arial" w:cs="Arial"/>
          <w:sz w:val="20"/>
          <w:szCs w:val="20"/>
        </w:rPr>
      </w:pPr>
    </w:p>
    <w:p w:rsidR="00C92EBC" w:rsidRDefault="00C92EBC" w:rsidP="00C92EBC">
      <w:pPr>
        <w:spacing w:line="259" w:lineRule="auto"/>
        <w:rPr>
          <w:rFonts w:ascii="Arial" w:hAnsi="Arial" w:cs="Arial"/>
          <w:sz w:val="20"/>
          <w:szCs w:val="20"/>
        </w:rPr>
      </w:pPr>
    </w:p>
    <w:p w:rsidR="00C92EBC" w:rsidRDefault="00C92EBC" w:rsidP="00C92EBC">
      <w:pPr>
        <w:spacing w:line="259" w:lineRule="auto"/>
        <w:rPr>
          <w:rFonts w:ascii="Arial" w:hAnsi="Arial" w:cs="Arial"/>
          <w:sz w:val="20"/>
          <w:szCs w:val="20"/>
        </w:rPr>
      </w:pPr>
    </w:p>
    <w:p w:rsidR="00C92EBC" w:rsidRDefault="00C92EBC" w:rsidP="00C92EBC">
      <w:r>
        <w:t>More details can be referred to in the below link.</w:t>
      </w:r>
    </w:p>
    <w:p w:rsidR="00C92EBC" w:rsidRDefault="00C92EBC" w:rsidP="00C92EBC">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8" w:history="1">
        <w:r w:rsidRPr="006865D6">
          <w:rPr>
            <w:rStyle w:val="Hyperlink"/>
            <w:rFonts w:ascii="Arial" w:hAnsi="Arial" w:cs="Arial"/>
            <w:bCs/>
            <w:sz w:val="20"/>
            <w:szCs w:val="20"/>
          </w:rPr>
          <w:t>https://rbi.org.in/Scripts/NotificationUser.aspx?Id=12350&amp;Mode=0</w:t>
        </w:r>
      </w:hyperlink>
    </w:p>
    <w:p w:rsidR="00C92EBC" w:rsidRDefault="00C92EBC" w:rsidP="00C92EBC">
      <w:pPr>
        <w:spacing w:line="259" w:lineRule="auto"/>
        <w:rPr>
          <w:rFonts w:ascii="Arial" w:hAnsi="Arial" w:cs="Arial"/>
          <w:sz w:val="20"/>
          <w:szCs w:val="20"/>
        </w:rPr>
      </w:pPr>
    </w:p>
    <w:p w:rsidR="00C0370F" w:rsidRDefault="00C0370F" w:rsidP="00C0370F">
      <w:pPr>
        <w:spacing w:line="259" w:lineRule="auto"/>
      </w:pPr>
    </w:p>
    <w:p w:rsidR="00C0370F" w:rsidRDefault="00C0370F" w:rsidP="00C0370F">
      <w:pPr>
        <w:spacing w:line="259" w:lineRule="auto"/>
      </w:pPr>
    </w:p>
    <w:p w:rsidR="00C92EBC" w:rsidRDefault="00C92EBC" w:rsidP="00C0370F">
      <w:pPr>
        <w:spacing w:line="259" w:lineRule="auto"/>
        <w:rPr>
          <w:rFonts w:ascii="Arial" w:hAnsi="Arial" w:cs="Arial"/>
          <w:b/>
          <w:bCs/>
          <w:color w:val="000000"/>
          <w:sz w:val="20"/>
          <w:szCs w:val="20"/>
        </w:rPr>
      </w:pPr>
    </w:p>
    <w:p w:rsidR="00BF2165" w:rsidRPr="00C0370F" w:rsidRDefault="004D6B44" w:rsidP="00C0370F">
      <w:pPr>
        <w:spacing w:line="259" w:lineRule="auto"/>
      </w:pPr>
      <w:r>
        <w:rPr>
          <w:rFonts w:ascii="Arial" w:hAnsi="Arial" w:cs="Arial"/>
          <w:b/>
          <w:bCs/>
          <w:color w:val="000000"/>
          <w:sz w:val="20"/>
          <w:szCs w:val="20"/>
        </w:rPr>
        <w:lastRenderedPageBreak/>
        <w:t>Overseas foreign currency borrowings of Authorised Dealer Category-I banks</w:t>
      </w:r>
    </w:p>
    <w:p w:rsidR="004D6B44" w:rsidRDefault="004D6B44" w:rsidP="00BF2165">
      <w:pPr>
        <w:spacing w:after="0"/>
        <w:jc w:val="both"/>
        <w:rPr>
          <w:rFonts w:ascii="Arial" w:hAnsi="Arial" w:cs="Arial"/>
          <w:b/>
          <w:bCs/>
          <w:color w:val="000000"/>
          <w:sz w:val="20"/>
          <w:szCs w:val="20"/>
        </w:rPr>
      </w:pPr>
    </w:p>
    <w:p w:rsidR="004D6B44" w:rsidRDefault="004D6B44" w:rsidP="002A3764">
      <w:pPr>
        <w:pStyle w:val="NormalWeb"/>
        <w:jc w:val="both"/>
        <w:rPr>
          <w:rFonts w:ascii="Arial" w:hAnsi="Arial" w:cs="Arial"/>
          <w:color w:val="000000"/>
          <w:sz w:val="20"/>
          <w:szCs w:val="20"/>
        </w:rPr>
      </w:pPr>
      <w:r>
        <w:rPr>
          <w:rFonts w:ascii="Arial" w:hAnsi="Arial" w:cs="Arial"/>
          <w:color w:val="000000"/>
          <w:sz w:val="20"/>
          <w:szCs w:val="20"/>
        </w:rPr>
        <w:t>RBI/2022-23/88</w:t>
      </w:r>
      <w:r>
        <w:rPr>
          <w:rFonts w:ascii="Arial" w:hAnsi="Arial" w:cs="Arial"/>
          <w:color w:val="000000"/>
          <w:sz w:val="20"/>
          <w:szCs w:val="20"/>
        </w:rPr>
        <w:br/>
        <w:t>A. P. (DIR Series) Circular No. 08</w:t>
      </w:r>
    </w:p>
    <w:p w:rsidR="004D6B44" w:rsidRDefault="004D6B44" w:rsidP="004D6B44">
      <w:pPr>
        <w:pStyle w:val="NormalWeb"/>
        <w:jc w:val="right"/>
        <w:rPr>
          <w:rFonts w:ascii="Arial" w:hAnsi="Arial" w:cs="Arial"/>
          <w:color w:val="000000"/>
          <w:sz w:val="20"/>
          <w:szCs w:val="20"/>
        </w:rPr>
      </w:pPr>
      <w:r>
        <w:rPr>
          <w:rFonts w:ascii="Arial" w:hAnsi="Arial" w:cs="Arial"/>
          <w:color w:val="000000"/>
          <w:sz w:val="20"/>
          <w:szCs w:val="20"/>
        </w:rPr>
        <w:t>July 07, 2022</w:t>
      </w:r>
    </w:p>
    <w:p w:rsidR="004D6B44" w:rsidRDefault="004D6B44" w:rsidP="004D6B44">
      <w:pPr>
        <w:pStyle w:val="NormalWeb"/>
        <w:jc w:val="both"/>
        <w:rPr>
          <w:rFonts w:ascii="Arial" w:hAnsi="Arial" w:cs="Arial"/>
          <w:color w:val="000000"/>
          <w:sz w:val="20"/>
          <w:szCs w:val="20"/>
        </w:rPr>
      </w:pPr>
      <w:r>
        <w:rPr>
          <w:rFonts w:ascii="Arial" w:hAnsi="Arial" w:cs="Arial"/>
          <w:color w:val="000000"/>
          <w:sz w:val="20"/>
          <w:szCs w:val="20"/>
        </w:rPr>
        <w:t>All Authorised Dealer Category-I Banks</w:t>
      </w:r>
    </w:p>
    <w:p w:rsidR="004D6B44" w:rsidRDefault="004D6B44" w:rsidP="004D6B44">
      <w:pPr>
        <w:pStyle w:val="NormalWeb"/>
        <w:jc w:val="both"/>
        <w:rPr>
          <w:rFonts w:ascii="Arial" w:hAnsi="Arial" w:cs="Arial"/>
          <w:color w:val="000000"/>
          <w:sz w:val="20"/>
          <w:szCs w:val="20"/>
        </w:rPr>
      </w:pPr>
      <w:r>
        <w:rPr>
          <w:rFonts w:ascii="Arial" w:hAnsi="Arial" w:cs="Arial"/>
          <w:color w:val="000000"/>
          <w:sz w:val="20"/>
          <w:szCs w:val="20"/>
        </w:rPr>
        <w:t>Madam/Sir,</w:t>
      </w:r>
    </w:p>
    <w:p w:rsidR="004D6B44" w:rsidRDefault="004D6B44" w:rsidP="004D6B44">
      <w:pPr>
        <w:pStyle w:val="head"/>
        <w:jc w:val="both"/>
        <w:rPr>
          <w:rFonts w:ascii="Arial" w:hAnsi="Arial" w:cs="Arial"/>
          <w:b/>
          <w:bCs/>
          <w:color w:val="000000"/>
          <w:sz w:val="20"/>
          <w:szCs w:val="20"/>
        </w:rPr>
      </w:pPr>
      <w:r>
        <w:rPr>
          <w:rFonts w:ascii="Arial" w:hAnsi="Arial" w:cs="Arial"/>
          <w:b/>
          <w:bCs/>
          <w:color w:val="000000"/>
          <w:sz w:val="20"/>
          <w:szCs w:val="20"/>
        </w:rPr>
        <w:t>Overseas foreign currency borrowings of Authorised Dealer Category-I banks</w:t>
      </w:r>
    </w:p>
    <w:p w:rsidR="004D6B44" w:rsidRDefault="004D6B44" w:rsidP="004D6B44">
      <w:pPr>
        <w:pStyle w:val="NormalWeb"/>
        <w:jc w:val="both"/>
        <w:rPr>
          <w:rFonts w:ascii="Arial" w:hAnsi="Arial" w:cs="Arial"/>
          <w:color w:val="000000"/>
          <w:sz w:val="20"/>
          <w:szCs w:val="20"/>
        </w:rPr>
      </w:pPr>
      <w:r>
        <w:rPr>
          <w:rFonts w:ascii="Arial" w:hAnsi="Arial" w:cs="Arial"/>
          <w:color w:val="000000"/>
          <w:sz w:val="20"/>
          <w:szCs w:val="20"/>
        </w:rPr>
        <w:t>Attention of Authorised Dealer Category-I (AD Cat-I) banks is invited to the Foreign Exchange Management (Borrowing and Lending) Regulations, 2018 [</w:t>
      </w:r>
      <w:hyperlink r:id="rId9" w:tgtFrame="_blank" w:history="1">
        <w:r>
          <w:rPr>
            <w:rStyle w:val="Hyperlink"/>
            <w:rFonts w:ascii="Arial" w:hAnsi="Arial" w:cs="Arial"/>
            <w:sz w:val="20"/>
            <w:szCs w:val="20"/>
          </w:rPr>
          <w:t>Notification no. FEMA 3(R)/2018-RB dated December 17, 2018</w:t>
        </w:r>
      </w:hyperlink>
      <w:r>
        <w:rPr>
          <w:rFonts w:ascii="Arial" w:hAnsi="Arial" w:cs="Arial"/>
          <w:color w:val="000000"/>
          <w:sz w:val="20"/>
          <w:szCs w:val="20"/>
        </w:rPr>
        <w:t>] and </w:t>
      </w:r>
      <w:hyperlink r:id="rId10" w:tgtFrame="_blank" w:history="1">
        <w:r>
          <w:rPr>
            <w:rStyle w:val="Hyperlink"/>
            <w:rFonts w:ascii="Arial" w:hAnsi="Arial" w:cs="Arial"/>
            <w:sz w:val="20"/>
            <w:szCs w:val="20"/>
          </w:rPr>
          <w:t>Master Direction - Risk Management and Inter-Bank Dealings dated July 05, 2016</w:t>
        </w:r>
      </w:hyperlink>
      <w:r>
        <w:rPr>
          <w:rFonts w:ascii="Arial" w:hAnsi="Arial" w:cs="Arial"/>
          <w:color w:val="000000"/>
          <w:sz w:val="20"/>
          <w:szCs w:val="20"/>
        </w:rPr>
        <w:t>, as amended from time to time.</w:t>
      </w:r>
    </w:p>
    <w:p w:rsidR="004D6B44" w:rsidRDefault="004D6B44" w:rsidP="004D6B44">
      <w:pPr>
        <w:pStyle w:val="NormalWeb"/>
        <w:jc w:val="both"/>
        <w:rPr>
          <w:rFonts w:ascii="Arial" w:hAnsi="Arial" w:cs="Arial"/>
          <w:color w:val="000000"/>
          <w:sz w:val="20"/>
          <w:szCs w:val="20"/>
        </w:rPr>
      </w:pPr>
      <w:r>
        <w:rPr>
          <w:rFonts w:ascii="Arial" w:hAnsi="Arial" w:cs="Arial"/>
          <w:color w:val="000000"/>
          <w:sz w:val="20"/>
          <w:szCs w:val="20"/>
        </w:rPr>
        <w:t>2. As announced in paragraph 4 of the </w:t>
      </w:r>
      <w:hyperlink r:id="rId11" w:tgtFrame="_blank" w:history="1">
        <w:r>
          <w:rPr>
            <w:rStyle w:val="Hyperlink"/>
            <w:rFonts w:ascii="Arial" w:hAnsi="Arial" w:cs="Arial"/>
            <w:sz w:val="20"/>
            <w:szCs w:val="20"/>
          </w:rPr>
          <w:t>press release on “Liberalisation of Forex Flows” dated July 06, 2022</w:t>
        </w:r>
      </w:hyperlink>
      <w:r>
        <w:rPr>
          <w:rFonts w:ascii="Arial" w:hAnsi="Arial" w:cs="Arial"/>
          <w:color w:val="000000"/>
          <w:sz w:val="20"/>
          <w:szCs w:val="20"/>
        </w:rPr>
        <w:t>, AD Cat-I banks can utilise the funds raised from overseas foreign currency borrowings between July 08, 2022 and October 31, 2022 (both dates included) in terms of paragraph Part-C(5)(a) of the </w:t>
      </w:r>
      <w:hyperlink r:id="rId12" w:tgtFrame="_blank" w:history="1">
        <w:r>
          <w:rPr>
            <w:rStyle w:val="Hyperlink"/>
            <w:rFonts w:ascii="Arial" w:hAnsi="Arial" w:cs="Arial"/>
            <w:sz w:val="20"/>
            <w:szCs w:val="20"/>
          </w:rPr>
          <w:t>Master Direction - Risk Management and Inter-Bank Dealings dated July 05, 2016</w:t>
        </w:r>
      </w:hyperlink>
      <w:r>
        <w:rPr>
          <w:rFonts w:ascii="Arial" w:hAnsi="Arial" w:cs="Arial"/>
          <w:color w:val="000000"/>
          <w:sz w:val="20"/>
          <w:szCs w:val="20"/>
        </w:rPr>
        <w:t>, as amended from time to time, for lending in foreign currency to constituents in India. Such lending shall be subject to the end-use prescriptions as applicable to External Commercial Borrowings (ECBs) in terms of paragraph 2.1(viii) of the </w:t>
      </w:r>
      <w:hyperlink r:id="rId13" w:tgtFrame="_blank" w:history="1">
        <w:r>
          <w:rPr>
            <w:rStyle w:val="Hyperlink"/>
            <w:rFonts w:ascii="Arial" w:hAnsi="Arial" w:cs="Arial"/>
            <w:sz w:val="20"/>
            <w:szCs w:val="20"/>
          </w:rPr>
          <w:t>Master Direction - External Commercial Borrowings, Trade Credits and Structured Obligations dated March 26, 2019</w:t>
        </w:r>
      </w:hyperlink>
      <w:r>
        <w:rPr>
          <w:rFonts w:ascii="Arial" w:hAnsi="Arial" w:cs="Arial"/>
          <w:color w:val="000000"/>
          <w:sz w:val="20"/>
          <w:szCs w:val="20"/>
        </w:rPr>
        <w:t>, as amended from time to time. This facility will be available till the maturity / repayment of the overseas foreign currency borrowings.</w:t>
      </w:r>
    </w:p>
    <w:p w:rsidR="004D6B44" w:rsidRDefault="004D6B44" w:rsidP="004D6B44">
      <w:pPr>
        <w:pStyle w:val="NormalWeb"/>
        <w:jc w:val="both"/>
        <w:rPr>
          <w:rFonts w:ascii="Arial" w:hAnsi="Arial" w:cs="Arial"/>
          <w:color w:val="000000"/>
          <w:sz w:val="20"/>
          <w:szCs w:val="20"/>
        </w:rPr>
      </w:pPr>
      <w:r>
        <w:rPr>
          <w:rFonts w:ascii="Arial" w:hAnsi="Arial" w:cs="Arial"/>
          <w:color w:val="000000"/>
          <w:sz w:val="20"/>
          <w:szCs w:val="20"/>
        </w:rPr>
        <w:t>3. The directions contained in this circular have been issued under Sections 10(4) and 11(1) of the Foreign Exchange Management Act, 1999 (42 of 1999) and are without prejudice to permissions / approvals, if any, required under any other law.</w:t>
      </w:r>
    </w:p>
    <w:p w:rsidR="004D6B44" w:rsidRDefault="004D6B44" w:rsidP="009126B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Yours faithfully,</w:t>
      </w:r>
    </w:p>
    <w:p w:rsidR="00BF2165" w:rsidRPr="001B0D06" w:rsidRDefault="004D6B44" w:rsidP="009126B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9126BF" w:rsidRDefault="009126BF" w:rsidP="001B0D06"/>
    <w:p w:rsidR="000F6CB6" w:rsidRDefault="000F6CB6" w:rsidP="001B0D06"/>
    <w:p w:rsidR="001B0D06" w:rsidRDefault="001B0D06" w:rsidP="001B0D06">
      <w:r>
        <w:t>More details can be referred to in the below link.</w:t>
      </w:r>
    </w:p>
    <w:p w:rsidR="00BF2165" w:rsidRDefault="00BF2165" w:rsidP="00BF2165">
      <w:pPr>
        <w:spacing w:after="0"/>
        <w:jc w:val="both"/>
        <w:rPr>
          <w:rFonts w:ascii="Arial" w:hAnsi="Arial" w:cs="Arial"/>
          <w:sz w:val="20"/>
          <w:szCs w:val="20"/>
        </w:rPr>
      </w:pPr>
    </w:p>
    <w:p w:rsidR="00BF2165" w:rsidRDefault="00BF2165" w:rsidP="00BF2165">
      <w:pPr>
        <w:spacing w:after="0"/>
        <w:jc w:val="both"/>
        <w:rPr>
          <w:rFonts w:ascii="Arial" w:hAnsi="Arial" w:cs="Arial"/>
          <w:sz w:val="20"/>
          <w:szCs w:val="20"/>
        </w:rPr>
      </w:pPr>
      <w:r>
        <w:rPr>
          <w:rFonts w:ascii="Arial" w:hAnsi="Arial" w:cs="Arial"/>
          <w:sz w:val="20"/>
          <w:szCs w:val="20"/>
        </w:rPr>
        <w:t>Reference Link:</w:t>
      </w:r>
      <w:r w:rsidR="00121B22" w:rsidRPr="00121B22">
        <w:t xml:space="preserve"> </w:t>
      </w:r>
      <w:hyperlink r:id="rId14" w:history="1">
        <w:r w:rsidR="00121B22" w:rsidRPr="00200311">
          <w:rPr>
            <w:rStyle w:val="Hyperlink"/>
            <w:rFonts w:ascii="Arial" w:hAnsi="Arial" w:cs="Arial"/>
            <w:sz w:val="20"/>
            <w:szCs w:val="20"/>
          </w:rPr>
          <w:t>https://www.rbi.org.in/scripts/NotificationUser.aspx?Id=12356&amp;Mode=0</w:t>
        </w:r>
      </w:hyperlink>
    </w:p>
    <w:p w:rsidR="00121B22" w:rsidRDefault="00121B22" w:rsidP="00BF2165">
      <w:pPr>
        <w:spacing w:after="0"/>
        <w:jc w:val="both"/>
        <w:rPr>
          <w:rFonts w:ascii="Arial" w:hAnsi="Arial" w:cs="Arial"/>
          <w:sz w:val="20"/>
          <w:szCs w:val="20"/>
        </w:rPr>
      </w:pPr>
    </w:p>
    <w:p w:rsidR="00583041" w:rsidRDefault="00583041" w:rsidP="00BF2165">
      <w:pPr>
        <w:spacing w:after="0"/>
        <w:jc w:val="both"/>
        <w:rPr>
          <w:rFonts w:ascii="Arial" w:hAnsi="Arial" w:cs="Arial"/>
          <w:sz w:val="20"/>
          <w:szCs w:val="20"/>
        </w:rPr>
      </w:pPr>
    </w:p>
    <w:p w:rsidR="00BF2165" w:rsidRDefault="00BF2165" w:rsidP="00BF2165">
      <w:pPr>
        <w:spacing w:after="0"/>
        <w:jc w:val="both"/>
        <w:rPr>
          <w:rFonts w:ascii="Arial" w:hAnsi="Arial" w:cs="Arial"/>
          <w:sz w:val="20"/>
          <w:szCs w:val="20"/>
        </w:rPr>
      </w:pPr>
    </w:p>
    <w:p w:rsidR="00BF2165" w:rsidRDefault="00BF2165" w:rsidP="00BF2165">
      <w:pPr>
        <w:spacing w:after="0"/>
        <w:jc w:val="both"/>
        <w:rPr>
          <w:rFonts w:ascii="Arial" w:hAnsi="Arial" w:cs="Arial"/>
          <w:sz w:val="20"/>
          <w:szCs w:val="20"/>
        </w:rPr>
      </w:pPr>
    </w:p>
    <w:p w:rsidR="00BF2165" w:rsidRDefault="00BF2165" w:rsidP="00BF2165">
      <w:pPr>
        <w:rPr>
          <w:rFonts w:ascii="Arial" w:hAnsi="Arial" w:cs="Arial"/>
          <w:b/>
          <w:bCs/>
          <w:color w:val="000000"/>
          <w:sz w:val="20"/>
          <w:szCs w:val="20"/>
        </w:rPr>
      </w:pPr>
      <w:r>
        <w:br w:type="page"/>
      </w:r>
      <w:r w:rsidR="001E7AD4">
        <w:rPr>
          <w:rFonts w:ascii="Arial" w:hAnsi="Arial" w:cs="Arial"/>
          <w:b/>
          <w:bCs/>
          <w:color w:val="000000"/>
          <w:sz w:val="20"/>
          <w:szCs w:val="20"/>
        </w:rPr>
        <w:lastRenderedPageBreak/>
        <w:t>International Trade Settlement in Indian Rupees (INR)</w:t>
      </w:r>
    </w:p>
    <w:p w:rsidR="001E7AD4" w:rsidRPr="001E7AD4" w:rsidRDefault="001E7AD4" w:rsidP="002A3764">
      <w:pPr>
        <w:spacing w:before="100" w:beforeAutospacing="1" w:after="100" w:afterAutospacing="1" w:line="240" w:lineRule="auto"/>
        <w:jc w:val="both"/>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RBI/2022-2023/90</w:t>
      </w:r>
      <w:r w:rsidRPr="001E7AD4">
        <w:rPr>
          <w:rFonts w:ascii="Arial" w:eastAsia="Times New Roman" w:hAnsi="Arial" w:cs="Arial"/>
          <w:color w:val="000000"/>
          <w:sz w:val="20"/>
          <w:szCs w:val="20"/>
          <w:lang w:eastAsia="en-IN"/>
        </w:rPr>
        <w:br/>
        <w:t>A.P. (DIR Series) Circular No.10</w:t>
      </w:r>
    </w:p>
    <w:p w:rsidR="001E7AD4" w:rsidRPr="001E7AD4" w:rsidRDefault="001E7AD4" w:rsidP="001E7AD4">
      <w:pPr>
        <w:spacing w:before="100" w:beforeAutospacing="1" w:after="100" w:afterAutospacing="1" w:line="240" w:lineRule="auto"/>
        <w:jc w:val="right"/>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July 11, 2022</w:t>
      </w:r>
    </w:p>
    <w:p w:rsidR="000F6CB6" w:rsidRDefault="001E7AD4" w:rsidP="000F6CB6">
      <w:pPr>
        <w:pStyle w:val="NoSpacing"/>
        <w:rPr>
          <w:lang w:eastAsia="en-IN"/>
        </w:rPr>
      </w:pPr>
      <w:r w:rsidRPr="001E7AD4">
        <w:rPr>
          <w:lang w:eastAsia="en-IN"/>
        </w:rPr>
        <w:t>To</w:t>
      </w:r>
    </w:p>
    <w:p w:rsidR="001E7AD4" w:rsidRPr="001E7AD4" w:rsidRDefault="001E7AD4" w:rsidP="000F6CB6">
      <w:pPr>
        <w:pStyle w:val="NoSpacing"/>
        <w:rPr>
          <w:lang w:eastAsia="en-IN"/>
        </w:rPr>
      </w:pPr>
      <w:r w:rsidRPr="001E7AD4">
        <w:rPr>
          <w:lang w:eastAsia="en-IN"/>
        </w:rPr>
        <w:t>All Category-I Authorised Dealer Banks</w:t>
      </w:r>
    </w:p>
    <w:p w:rsidR="001E7AD4" w:rsidRPr="001E7AD4" w:rsidRDefault="001E7AD4" w:rsidP="000F6CB6">
      <w:pPr>
        <w:pStyle w:val="NoSpacing"/>
        <w:rPr>
          <w:lang w:eastAsia="en-IN"/>
        </w:rPr>
      </w:pPr>
      <w:r w:rsidRPr="001E7AD4">
        <w:rPr>
          <w:lang w:eastAsia="en-IN"/>
        </w:rPr>
        <w:t>Madam/Sir</w:t>
      </w:r>
    </w:p>
    <w:p w:rsidR="001E7AD4" w:rsidRPr="001E7AD4" w:rsidRDefault="001E7AD4" w:rsidP="001E7AD4">
      <w:pPr>
        <w:spacing w:before="100" w:beforeAutospacing="1" w:after="100" w:afterAutospacing="1" w:line="240" w:lineRule="auto"/>
        <w:jc w:val="both"/>
        <w:rPr>
          <w:rFonts w:ascii="Arial" w:eastAsia="Times New Roman" w:hAnsi="Arial" w:cs="Arial"/>
          <w:b/>
          <w:bCs/>
          <w:color w:val="000000"/>
          <w:sz w:val="20"/>
          <w:szCs w:val="20"/>
          <w:lang w:eastAsia="en-IN"/>
        </w:rPr>
      </w:pPr>
      <w:r w:rsidRPr="001E7AD4">
        <w:rPr>
          <w:rFonts w:ascii="Arial" w:eastAsia="Times New Roman" w:hAnsi="Arial" w:cs="Arial"/>
          <w:b/>
          <w:bCs/>
          <w:color w:val="000000"/>
          <w:sz w:val="20"/>
          <w:szCs w:val="20"/>
          <w:u w:val="single"/>
          <w:lang w:eastAsia="en-IN"/>
        </w:rPr>
        <w:t>International Trade Settlement in Indian Rupees (INR)</w:t>
      </w:r>
    </w:p>
    <w:p w:rsidR="001E7AD4" w:rsidRPr="001E7AD4" w:rsidRDefault="001E7AD4" w:rsidP="001E7AD4">
      <w:pPr>
        <w:spacing w:before="100" w:beforeAutospacing="1" w:after="100" w:afterAutospacing="1" w:line="240" w:lineRule="auto"/>
        <w:jc w:val="both"/>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In order to promote growth of global trade with emphasis on exports from India and to support the increasing interest of global trading community in INR, it has been decided to put in place an additional arrangement for invoicing, payment, and settlement of exports / imports in INR. Before putting in place this mechanism, AD banks shall require prior approval from the Foreign Exchange Department of Reserve Bank of India, Central Office at Mumbai.</w:t>
      </w:r>
    </w:p>
    <w:p w:rsidR="001E7AD4" w:rsidRPr="001E7AD4" w:rsidRDefault="001E7AD4" w:rsidP="001E7AD4">
      <w:pPr>
        <w:spacing w:before="100" w:beforeAutospacing="1" w:after="100" w:afterAutospacing="1" w:line="240" w:lineRule="auto"/>
        <w:jc w:val="both"/>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2. The broad framework for cross border trade transactions in INR under Foreign Exchange Management Act, 1999 (FEMA) is as delineated below:</w:t>
      </w:r>
    </w:p>
    <w:p w:rsidR="001E7AD4" w:rsidRPr="000F6CB6" w:rsidRDefault="001E7AD4" w:rsidP="001E7AD4">
      <w:pPr>
        <w:numPr>
          <w:ilvl w:val="0"/>
          <w:numId w:val="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0F6CB6">
        <w:rPr>
          <w:rFonts w:ascii="Arial" w:eastAsia="Times New Roman" w:hAnsi="Arial" w:cs="Arial"/>
          <w:bCs/>
          <w:color w:val="000000"/>
          <w:sz w:val="20"/>
          <w:szCs w:val="20"/>
          <w:lang w:eastAsia="en-IN"/>
        </w:rPr>
        <w:t>Invoicing</w:t>
      </w:r>
    </w:p>
    <w:p w:rsidR="001E7AD4" w:rsidRPr="000F6CB6" w:rsidRDefault="001E7AD4" w:rsidP="001E7AD4">
      <w:pPr>
        <w:numPr>
          <w:ilvl w:val="0"/>
          <w:numId w:val="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0F6CB6">
        <w:rPr>
          <w:rFonts w:ascii="Arial" w:eastAsia="Times New Roman" w:hAnsi="Arial" w:cs="Arial"/>
          <w:bCs/>
          <w:color w:val="000000"/>
          <w:sz w:val="20"/>
          <w:szCs w:val="20"/>
          <w:lang w:eastAsia="en-IN"/>
        </w:rPr>
        <w:t xml:space="preserve"> Exchange Rate</w:t>
      </w:r>
    </w:p>
    <w:p w:rsidR="001E7AD4" w:rsidRDefault="001E7AD4" w:rsidP="001E7AD4">
      <w:pPr>
        <w:numPr>
          <w:ilvl w:val="0"/>
          <w:numId w:val="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0F6CB6">
        <w:rPr>
          <w:rFonts w:ascii="Arial" w:eastAsia="Times New Roman" w:hAnsi="Arial" w:cs="Arial"/>
          <w:bCs/>
          <w:color w:val="000000"/>
          <w:sz w:val="20"/>
          <w:szCs w:val="20"/>
          <w:lang w:eastAsia="en-IN"/>
        </w:rPr>
        <w:t xml:space="preserve"> Settlement</w:t>
      </w:r>
      <w:r w:rsidRPr="001E7AD4">
        <w:rPr>
          <w:rFonts w:ascii="Arial" w:eastAsia="Times New Roman" w:hAnsi="Arial" w:cs="Arial"/>
          <w:color w:val="000000"/>
          <w:sz w:val="20"/>
          <w:szCs w:val="20"/>
          <w:lang w:eastAsia="en-IN"/>
        </w:rPr>
        <w:t> </w:t>
      </w:r>
    </w:p>
    <w:p w:rsidR="001E7AD4" w:rsidRPr="001E7AD4" w:rsidRDefault="001E7AD4" w:rsidP="001E7AD4">
      <w:pPr>
        <w:spacing w:before="100" w:beforeAutospacing="1" w:after="100" w:afterAutospacing="1" w:line="240" w:lineRule="auto"/>
        <w:jc w:val="both"/>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 xml:space="preserve"> 3. In terms of Regulation 7(1) of Foreign Exchange Management (Deposit) Regulations, 2016, AD banks in India have been permitted to open Rupee Vostro Accounts. Accordingly, for settlement of trade transactions with any country, AD bank in India may open Special Rupee Vostro Accounts of correspondent bank/s of the partner trading country. In order to allow settlement of international trade transactions through this arrangement, it has been decided that:</w:t>
      </w:r>
    </w:p>
    <w:p w:rsidR="001E7AD4" w:rsidRPr="001E7AD4" w:rsidRDefault="001E7AD4" w:rsidP="001E7AD4">
      <w:pPr>
        <w:numPr>
          <w:ilvl w:val="0"/>
          <w:numId w:val="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Indian importers undertaking imports through this mechanism shall make payment in INR which shall be credited into the Special Vostro account of the correspondent bank of the partner country, against the invoices for the supply of goods or services from the overseas seller /supplier.</w:t>
      </w:r>
    </w:p>
    <w:p w:rsidR="001E7AD4" w:rsidRPr="001E7AD4" w:rsidRDefault="001E7AD4" w:rsidP="001E7AD4">
      <w:pPr>
        <w:numPr>
          <w:ilvl w:val="0"/>
          <w:numId w:val="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Indian exporters, undertaking exports of goods and services through this mechanism, shall be paid the export proceeds in INR from the balances in the designated Special Vostro account of the correspondent bank of the partner country.</w:t>
      </w:r>
    </w:p>
    <w:p w:rsidR="00645D84" w:rsidRPr="001F219E" w:rsidRDefault="001E7AD4" w:rsidP="00645D84">
      <w:pPr>
        <w:spacing w:after="0" w:line="240" w:lineRule="auto"/>
        <w:rPr>
          <w:rFonts w:ascii="Arial" w:eastAsia="Times New Roman" w:hAnsi="Arial" w:cs="Arial"/>
          <w:bCs/>
          <w:color w:val="000000"/>
          <w:sz w:val="20"/>
          <w:szCs w:val="20"/>
          <w:lang w:eastAsia="en-IN"/>
        </w:rPr>
      </w:pPr>
      <w:r w:rsidRPr="001F219E">
        <w:rPr>
          <w:rFonts w:ascii="Arial" w:eastAsia="Times New Roman" w:hAnsi="Arial" w:cs="Arial"/>
          <w:bCs/>
          <w:color w:val="000000"/>
          <w:sz w:val="20"/>
          <w:szCs w:val="20"/>
          <w:lang w:eastAsia="en-IN"/>
        </w:rPr>
        <w:t xml:space="preserve">4. </w:t>
      </w:r>
      <w:r w:rsidR="008462A3" w:rsidRPr="001F219E">
        <w:rPr>
          <w:rFonts w:ascii="Arial" w:eastAsia="Times New Roman" w:hAnsi="Arial" w:cs="Arial"/>
          <w:bCs/>
          <w:color w:val="000000"/>
          <w:sz w:val="20"/>
          <w:szCs w:val="20"/>
          <w:lang w:eastAsia="en-IN"/>
        </w:rPr>
        <w:t xml:space="preserve">   </w:t>
      </w:r>
      <w:r w:rsidRPr="001F219E">
        <w:rPr>
          <w:rFonts w:ascii="Arial" w:eastAsia="Times New Roman" w:hAnsi="Arial" w:cs="Arial"/>
          <w:bCs/>
          <w:color w:val="000000"/>
          <w:sz w:val="20"/>
          <w:szCs w:val="20"/>
          <w:lang w:eastAsia="en-IN"/>
        </w:rPr>
        <w:t>Documentation</w:t>
      </w:r>
    </w:p>
    <w:p w:rsidR="001E7AD4" w:rsidRPr="001F219E" w:rsidRDefault="00645D84" w:rsidP="00645D84">
      <w:pPr>
        <w:spacing w:after="0" w:line="240" w:lineRule="auto"/>
        <w:rPr>
          <w:rFonts w:ascii="Arial" w:eastAsia="Times New Roman" w:hAnsi="Arial" w:cs="Arial"/>
          <w:color w:val="000000"/>
          <w:sz w:val="20"/>
          <w:szCs w:val="20"/>
          <w:lang w:eastAsia="en-IN"/>
        </w:rPr>
      </w:pPr>
      <w:r w:rsidRPr="001F219E">
        <w:rPr>
          <w:rFonts w:ascii="Arial" w:eastAsia="Times New Roman" w:hAnsi="Arial" w:cs="Arial"/>
          <w:bCs/>
          <w:color w:val="000000"/>
          <w:sz w:val="20"/>
          <w:szCs w:val="20"/>
          <w:lang w:eastAsia="en-IN"/>
        </w:rPr>
        <w:t xml:space="preserve">5. </w:t>
      </w:r>
      <w:r w:rsidR="008462A3" w:rsidRPr="001F219E">
        <w:rPr>
          <w:rFonts w:ascii="Arial" w:eastAsia="Times New Roman" w:hAnsi="Arial" w:cs="Arial"/>
          <w:bCs/>
          <w:color w:val="000000"/>
          <w:sz w:val="20"/>
          <w:szCs w:val="20"/>
          <w:lang w:eastAsia="en-IN"/>
        </w:rPr>
        <w:t xml:space="preserve">   </w:t>
      </w:r>
      <w:r w:rsidR="001E7AD4" w:rsidRPr="001F219E">
        <w:rPr>
          <w:rFonts w:ascii="Arial" w:eastAsia="Times New Roman" w:hAnsi="Arial" w:cs="Arial"/>
          <w:bCs/>
          <w:color w:val="000000"/>
          <w:sz w:val="20"/>
          <w:szCs w:val="20"/>
          <w:lang w:eastAsia="en-IN"/>
        </w:rPr>
        <w:t>Advance against exports</w:t>
      </w:r>
    </w:p>
    <w:p w:rsidR="00645D84" w:rsidRPr="001F219E" w:rsidRDefault="001E7AD4" w:rsidP="00645D84">
      <w:pPr>
        <w:spacing w:after="0" w:line="240" w:lineRule="auto"/>
        <w:rPr>
          <w:rFonts w:ascii="Arial" w:eastAsia="Times New Roman" w:hAnsi="Arial" w:cs="Arial"/>
          <w:bCs/>
          <w:color w:val="000000"/>
          <w:sz w:val="20"/>
          <w:szCs w:val="20"/>
          <w:lang w:eastAsia="en-IN"/>
        </w:rPr>
      </w:pPr>
      <w:r w:rsidRPr="001F219E">
        <w:rPr>
          <w:rFonts w:ascii="Arial" w:eastAsia="Times New Roman" w:hAnsi="Arial" w:cs="Arial"/>
          <w:bCs/>
          <w:color w:val="000000"/>
          <w:sz w:val="20"/>
          <w:szCs w:val="20"/>
          <w:lang w:eastAsia="en-IN"/>
        </w:rPr>
        <w:t>6.</w:t>
      </w:r>
      <w:r w:rsidR="008462A3" w:rsidRPr="001F219E">
        <w:rPr>
          <w:rFonts w:ascii="Arial" w:eastAsia="Times New Roman" w:hAnsi="Arial" w:cs="Arial"/>
          <w:bCs/>
          <w:color w:val="000000"/>
          <w:sz w:val="20"/>
          <w:szCs w:val="20"/>
          <w:lang w:eastAsia="en-IN"/>
        </w:rPr>
        <w:t xml:space="preserve"> </w:t>
      </w:r>
      <w:r w:rsidRPr="001F219E">
        <w:rPr>
          <w:rFonts w:ascii="Arial" w:eastAsia="Times New Roman" w:hAnsi="Arial" w:cs="Arial"/>
          <w:bCs/>
          <w:color w:val="000000"/>
          <w:sz w:val="20"/>
          <w:szCs w:val="20"/>
          <w:lang w:eastAsia="en-IN"/>
        </w:rPr>
        <w:t xml:space="preserve"> </w:t>
      </w:r>
      <w:r w:rsidR="008462A3" w:rsidRPr="001F219E">
        <w:rPr>
          <w:rFonts w:ascii="Arial" w:eastAsia="Times New Roman" w:hAnsi="Arial" w:cs="Arial"/>
          <w:bCs/>
          <w:color w:val="000000"/>
          <w:sz w:val="20"/>
          <w:szCs w:val="20"/>
          <w:lang w:eastAsia="en-IN"/>
        </w:rPr>
        <w:t xml:space="preserve">  </w:t>
      </w:r>
      <w:r w:rsidRPr="001F219E">
        <w:rPr>
          <w:rFonts w:ascii="Arial" w:eastAsia="Times New Roman" w:hAnsi="Arial" w:cs="Arial"/>
          <w:bCs/>
          <w:color w:val="000000"/>
          <w:sz w:val="20"/>
          <w:szCs w:val="20"/>
          <w:lang w:eastAsia="en-IN"/>
        </w:rPr>
        <w:t>Setting-off of export receivables</w:t>
      </w:r>
    </w:p>
    <w:p w:rsidR="00645D84" w:rsidRPr="001F219E" w:rsidRDefault="00645D84" w:rsidP="00645D84">
      <w:pPr>
        <w:spacing w:after="0" w:line="240" w:lineRule="auto"/>
        <w:rPr>
          <w:rFonts w:ascii="Arial" w:eastAsia="Times New Roman" w:hAnsi="Arial" w:cs="Arial"/>
          <w:bCs/>
          <w:color w:val="000000"/>
          <w:sz w:val="20"/>
          <w:szCs w:val="20"/>
          <w:lang w:eastAsia="en-IN"/>
        </w:rPr>
      </w:pPr>
      <w:r w:rsidRPr="001F219E">
        <w:rPr>
          <w:rFonts w:ascii="Arial" w:eastAsia="Times New Roman" w:hAnsi="Arial" w:cs="Arial"/>
          <w:bCs/>
          <w:color w:val="000000"/>
          <w:sz w:val="20"/>
          <w:szCs w:val="20"/>
          <w:lang w:eastAsia="en-IN"/>
        </w:rPr>
        <w:t xml:space="preserve">7. </w:t>
      </w:r>
      <w:r w:rsidR="008462A3" w:rsidRPr="001F219E">
        <w:rPr>
          <w:rFonts w:ascii="Arial" w:eastAsia="Times New Roman" w:hAnsi="Arial" w:cs="Arial"/>
          <w:bCs/>
          <w:color w:val="000000"/>
          <w:sz w:val="20"/>
          <w:szCs w:val="20"/>
          <w:lang w:eastAsia="en-IN"/>
        </w:rPr>
        <w:t xml:space="preserve">   </w:t>
      </w:r>
      <w:r w:rsidR="001E7AD4" w:rsidRPr="001F219E">
        <w:rPr>
          <w:rFonts w:ascii="Arial" w:eastAsia="Times New Roman" w:hAnsi="Arial" w:cs="Arial"/>
          <w:bCs/>
          <w:color w:val="000000"/>
          <w:sz w:val="20"/>
          <w:szCs w:val="20"/>
          <w:lang w:eastAsia="en-IN"/>
        </w:rPr>
        <w:t>Bank Guarantee</w:t>
      </w:r>
      <w:r w:rsidR="001E7AD4" w:rsidRPr="001E7AD4">
        <w:rPr>
          <w:rFonts w:ascii="Arial" w:eastAsia="Times New Roman" w:hAnsi="Arial" w:cs="Arial"/>
          <w:color w:val="000000"/>
          <w:sz w:val="20"/>
          <w:szCs w:val="20"/>
          <w:lang w:eastAsia="en-IN"/>
        </w:rPr>
        <w:t> </w:t>
      </w:r>
    </w:p>
    <w:p w:rsidR="001E7AD4" w:rsidRPr="001E7AD4" w:rsidRDefault="00645D84" w:rsidP="00645D84">
      <w:pPr>
        <w:spacing w:after="0" w:line="240" w:lineRule="auto"/>
        <w:rPr>
          <w:rFonts w:ascii="Arial" w:eastAsia="Times New Roman" w:hAnsi="Arial" w:cs="Arial"/>
          <w:bCs/>
          <w:color w:val="000000"/>
          <w:sz w:val="20"/>
          <w:szCs w:val="20"/>
          <w:lang w:eastAsia="en-IN"/>
        </w:rPr>
      </w:pPr>
      <w:r w:rsidRPr="001F219E">
        <w:rPr>
          <w:rFonts w:ascii="Arial" w:eastAsia="Times New Roman" w:hAnsi="Arial" w:cs="Arial"/>
          <w:bCs/>
          <w:color w:val="000000"/>
          <w:sz w:val="20"/>
          <w:szCs w:val="20"/>
          <w:lang w:eastAsia="en-IN"/>
        </w:rPr>
        <w:t xml:space="preserve">8. </w:t>
      </w:r>
      <w:r w:rsidR="008462A3" w:rsidRPr="001F219E">
        <w:rPr>
          <w:rFonts w:ascii="Arial" w:eastAsia="Times New Roman" w:hAnsi="Arial" w:cs="Arial"/>
          <w:bCs/>
          <w:color w:val="000000"/>
          <w:sz w:val="20"/>
          <w:szCs w:val="20"/>
          <w:lang w:eastAsia="en-IN"/>
        </w:rPr>
        <w:t xml:space="preserve">   </w:t>
      </w:r>
      <w:r w:rsidR="001E7AD4" w:rsidRPr="001F219E">
        <w:rPr>
          <w:rFonts w:ascii="Arial" w:eastAsia="Times New Roman" w:hAnsi="Arial" w:cs="Arial"/>
          <w:bCs/>
          <w:color w:val="000000"/>
          <w:sz w:val="20"/>
          <w:szCs w:val="20"/>
          <w:lang w:eastAsia="en-IN"/>
        </w:rPr>
        <w:t>Use of Surplus Balance</w:t>
      </w:r>
    </w:p>
    <w:p w:rsidR="001E7AD4" w:rsidRPr="001E7AD4" w:rsidRDefault="001E7AD4" w:rsidP="00645D84">
      <w:pPr>
        <w:spacing w:after="0" w:line="240" w:lineRule="auto"/>
        <w:rPr>
          <w:rFonts w:ascii="Arial" w:eastAsia="Times New Roman" w:hAnsi="Arial" w:cs="Arial"/>
          <w:color w:val="000000"/>
          <w:sz w:val="20"/>
          <w:szCs w:val="20"/>
          <w:lang w:eastAsia="en-IN"/>
        </w:rPr>
      </w:pPr>
      <w:r w:rsidRPr="001F219E">
        <w:rPr>
          <w:rFonts w:ascii="Arial" w:eastAsia="Times New Roman" w:hAnsi="Arial" w:cs="Arial"/>
          <w:bCs/>
          <w:color w:val="000000"/>
          <w:sz w:val="20"/>
          <w:szCs w:val="20"/>
          <w:lang w:eastAsia="en-IN"/>
        </w:rPr>
        <w:t xml:space="preserve">9. </w:t>
      </w:r>
      <w:r w:rsidR="008462A3" w:rsidRPr="001F219E">
        <w:rPr>
          <w:rFonts w:ascii="Arial" w:eastAsia="Times New Roman" w:hAnsi="Arial" w:cs="Arial"/>
          <w:bCs/>
          <w:color w:val="000000"/>
          <w:sz w:val="20"/>
          <w:szCs w:val="20"/>
          <w:lang w:eastAsia="en-IN"/>
        </w:rPr>
        <w:t xml:space="preserve">   </w:t>
      </w:r>
      <w:r w:rsidRPr="001F219E">
        <w:rPr>
          <w:rFonts w:ascii="Arial" w:eastAsia="Times New Roman" w:hAnsi="Arial" w:cs="Arial"/>
          <w:bCs/>
          <w:color w:val="000000"/>
          <w:sz w:val="20"/>
          <w:szCs w:val="20"/>
          <w:lang w:eastAsia="en-IN"/>
        </w:rPr>
        <w:t>Reporting Requirements</w:t>
      </w:r>
    </w:p>
    <w:p w:rsidR="001E7AD4" w:rsidRPr="001F219E" w:rsidRDefault="001E7AD4" w:rsidP="00645D84">
      <w:pPr>
        <w:spacing w:after="0" w:line="240" w:lineRule="auto"/>
        <w:rPr>
          <w:rFonts w:ascii="Arial" w:eastAsia="Times New Roman" w:hAnsi="Arial" w:cs="Arial"/>
          <w:bCs/>
          <w:color w:val="000000"/>
          <w:sz w:val="20"/>
          <w:szCs w:val="20"/>
          <w:lang w:eastAsia="en-IN"/>
        </w:rPr>
      </w:pPr>
      <w:r w:rsidRPr="001F219E">
        <w:rPr>
          <w:rFonts w:ascii="Arial" w:eastAsia="Times New Roman" w:hAnsi="Arial" w:cs="Arial"/>
          <w:bCs/>
          <w:color w:val="000000"/>
          <w:sz w:val="20"/>
          <w:szCs w:val="20"/>
          <w:lang w:eastAsia="en-IN"/>
        </w:rPr>
        <w:t xml:space="preserve">10. </w:t>
      </w:r>
      <w:r w:rsidR="008462A3" w:rsidRPr="001F219E">
        <w:rPr>
          <w:rFonts w:ascii="Arial" w:eastAsia="Times New Roman" w:hAnsi="Arial" w:cs="Arial"/>
          <w:bCs/>
          <w:color w:val="000000"/>
          <w:sz w:val="20"/>
          <w:szCs w:val="20"/>
          <w:lang w:eastAsia="en-IN"/>
        </w:rPr>
        <w:t xml:space="preserve"> </w:t>
      </w:r>
      <w:r w:rsidRPr="001F219E">
        <w:rPr>
          <w:rFonts w:ascii="Arial" w:eastAsia="Times New Roman" w:hAnsi="Arial" w:cs="Arial"/>
          <w:bCs/>
          <w:color w:val="000000"/>
          <w:sz w:val="20"/>
          <w:szCs w:val="20"/>
          <w:lang w:eastAsia="en-IN"/>
        </w:rPr>
        <w:t>Approval Process</w:t>
      </w:r>
    </w:p>
    <w:p w:rsidR="001E7AD4" w:rsidRPr="001E7AD4" w:rsidRDefault="001E7AD4" w:rsidP="001E7AD4">
      <w:pPr>
        <w:spacing w:after="0" w:line="240" w:lineRule="auto"/>
        <w:jc w:val="both"/>
        <w:rPr>
          <w:rFonts w:ascii="Arial" w:eastAsia="Times New Roman" w:hAnsi="Arial" w:cs="Arial"/>
          <w:b/>
          <w:bCs/>
          <w:color w:val="000000"/>
          <w:sz w:val="20"/>
          <w:szCs w:val="20"/>
          <w:lang w:eastAsia="en-IN"/>
        </w:rPr>
      </w:pPr>
    </w:p>
    <w:p w:rsidR="001E7AD4" w:rsidRPr="001E7AD4" w:rsidRDefault="001E7AD4" w:rsidP="001E7AD4">
      <w:pPr>
        <w:spacing w:after="0" w:line="240" w:lineRule="auto"/>
        <w:jc w:val="both"/>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Yours faithfully,</w:t>
      </w:r>
    </w:p>
    <w:p w:rsidR="001E7AD4" w:rsidRPr="001E7AD4" w:rsidRDefault="001E7AD4" w:rsidP="001E7AD4">
      <w:pPr>
        <w:spacing w:after="0" w:line="240" w:lineRule="auto"/>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w:t>
      </w:r>
      <w:proofErr w:type="spellStart"/>
      <w:r w:rsidRPr="001E7AD4">
        <w:rPr>
          <w:rFonts w:ascii="Arial" w:eastAsia="Times New Roman" w:hAnsi="Arial" w:cs="Arial"/>
          <w:color w:val="000000"/>
          <w:sz w:val="20"/>
          <w:szCs w:val="20"/>
          <w:lang w:eastAsia="en-IN"/>
        </w:rPr>
        <w:t>Vivek</w:t>
      </w:r>
      <w:proofErr w:type="spellEnd"/>
      <w:r>
        <w:rPr>
          <w:rFonts w:ascii="Arial" w:eastAsia="Times New Roman" w:hAnsi="Arial" w:cs="Arial"/>
          <w:color w:val="000000"/>
          <w:sz w:val="20"/>
          <w:szCs w:val="20"/>
          <w:lang w:eastAsia="en-IN"/>
        </w:rPr>
        <w:t xml:space="preserve"> </w:t>
      </w:r>
      <w:r w:rsidRPr="001E7AD4">
        <w:rPr>
          <w:rFonts w:ascii="Arial" w:eastAsia="Times New Roman" w:hAnsi="Arial" w:cs="Arial"/>
          <w:color w:val="000000"/>
          <w:sz w:val="20"/>
          <w:szCs w:val="20"/>
          <w:lang w:eastAsia="en-IN"/>
        </w:rPr>
        <w:t>Srivastava)</w:t>
      </w:r>
      <w:r w:rsidRPr="001E7AD4">
        <w:rPr>
          <w:rFonts w:ascii="Arial" w:eastAsia="Times New Roman" w:hAnsi="Arial" w:cs="Arial"/>
          <w:color w:val="000000"/>
          <w:sz w:val="20"/>
          <w:szCs w:val="20"/>
          <w:lang w:eastAsia="en-IN"/>
        </w:rPr>
        <w:br/>
        <w:t>Chief General Manager</w:t>
      </w:r>
    </w:p>
    <w:p w:rsidR="000F6CB6" w:rsidRDefault="000F6CB6" w:rsidP="001E7AD4"/>
    <w:p w:rsidR="000F6CB6" w:rsidRDefault="000F6CB6" w:rsidP="001E7AD4"/>
    <w:p w:rsidR="001E7AD4" w:rsidRDefault="001E7AD4" w:rsidP="001E7AD4">
      <w:r>
        <w:t>More details can be referred to in the below link.</w:t>
      </w:r>
    </w:p>
    <w:p w:rsidR="001E7AD4" w:rsidRDefault="001E7AD4" w:rsidP="001E7AD4">
      <w:pPr>
        <w:spacing w:after="0"/>
        <w:jc w:val="both"/>
      </w:pPr>
      <w:r>
        <w:rPr>
          <w:rFonts w:ascii="Arial" w:hAnsi="Arial" w:cs="Arial"/>
          <w:sz w:val="20"/>
          <w:szCs w:val="20"/>
        </w:rPr>
        <w:t>Reference Link:</w:t>
      </w:r>
      <w:r w:rsidRPr="00121B22">
        <w:t xml:space="preserve"> </w:t>
      </w:r>
      <w:hyperlink r:id="rId15" w:history="1">
        <w:r w:rsidRPr="00200311">
          <w:rPr>
            <w:rStyle w:val="Hyperlink"/>
          </w:rPr>
          <w:t>https://rbi.org.in/Scripts/NotificationUser.aspx?Id=12358&amp;Mode=0</w:t>
        </w:r>
      </w:hyperlink>
    </w:p>
    <w:p w:rsidR="00583041" w:rsidRPr="00583041" w:rsidRDefault="00583041" w:rsidP="00583041">
      <w:pPr>
        <w:spacing w:after="0"/>
        <w:jc w:val="both"/>
        <w:rPr>
          <w:rFonts w:ascii="Arial" w:hAnsi="Arial" w:cs="Arial"/>
          <w:b/>
          <w:sz w:val="20"/>
          <w:szCs w:val="20"/>
        </w:rPr>
      </w:pPr>
      <w:r w:rsidRPr="00583041">
        <w:rPr>
          <w:rFonts w:ascii="Arial" w:hAnsi="Arial" w:cs="Arial"/>
          <w:b/>
          <w:sz w:val="20"/>
          <w:szCs w:val="20"/>
        </w:rPr>
        <w:lastRenderedPageBreak/>
        <w:t>Foreign Exchange Management (Borrowing and Lending) (Amendment) Regulations, 2022</w:t>
      </w:r>
    </w:p>
    <w:p w:rsidR="00583041" w:rsidRPr="00583041" w:rsidRDefault="00583041" w:rsidP="00583041">
      <w:pPr>
        <w:spacing w:after="0"/>
        <w:jc w:val="both"/>
        <w:rPr>
          <w:rFonts w:ascii="Arial" w:hAnsi="Arial" w:cs="Arial"/>
          <w:sz w:val="20"/>
          <w:szCs w:val="20"/>
        </w:rPr>
      </w:pP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Reserve Bank of India</w:t>
      </w: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Foreign Exchange Department</w:t>
      </w: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Central Office</w:t>
      </w: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Mumbai</w:t>
      </w:r>
    </w:p>
    <w:p w:rsidR="00583041" w:rsidRPr="00583041" w:rsidRDefault="00583041" w:rsidP="00583041">
      <w:pPr>
        <w:spacing w:after="0"/>
        <w:jc w:val="both"/>
        <w:rPr>
          <w:rFonts w:ascii="Arial" w:hAnsi="Arial" w:cs="Arial"/>
          <w:sz w:val="20"/>
          <w:szCs w:val="20"/>
        </w:rPr>
      </w:pP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Notification No. FEMA.3(R)(3)/2022-RB</w:t>
      </w:r>
    </w:p>
    <w:p w:rsidR="00583041" w:rsidRPr="00583041" w:rsidRDefault="00583041" w:rsidP="00583041">
      <w:pPr>
        <w:spacing w:after="0"/>
        <w:jc w:val="both"/>
        <w:rPr>
          <w:rFonts w:ascii="Arial" w:hAnsi="Arial" w:cs="Arial"/>
          <w:sz w:val="20"/>
          <w:szCs w:val="20"/>
        </w:rPr>
      </w:pPr>
    </w:p>
    <w:p w:rsidR="00583041" w:rsidRPr="00583041" w:rsidRDefault="00583041" w:rsidP="00583041">
      <w:pPr>
        <w:spacing w:after="0"/>
        <w:jc w:val="right"/>
        <w:rPr>
          <w:rFonts w:ascii="Arial" w:hAnsi="Arial" w:cs="Arial"/>
          <w:sz w:val="20"/>
          <w:szCs w:val="20"/>
        </w:rPr>
      </w:pPr>
      <w:r w:rsidRPr="00583041">
        <w:rPr>
          <w:rFonts w:ascii="Arial" w:hAnsi="Arial" w:cs="Arial"/>
          <w:sz w:val="20"/>
          <w:szCs w:val="20"/>
        </w:rPr>
        <w:t>July 28, 2022</w:t>
      </w:r>
    </w:p>
    <w:p w:rsidR="00583041" w:rsidRPr="00583041" w:rsidRDefault="00583041" w:rsidP="00583041">
      <w:pPr>
        <w:spacing w:after="0"/>
        <w:jc w:val="both"/>
        <w:rPr>
          <w:rFonts w:ascii="Arial" w:hAnsi="Arial" w:cs="Arial"/>
          <w:sz w:val="20"/>
          <w:szCs w:val="20"/>
        </w:rPr>
      </w:pPr>
    </w:p>
    <w:p w:rsidR="00583041" w:rsidRPr="00583041" w:rsidRDefault="00583041" w:rsidP="00583041">
      <w:pPr>
        <w:spacing w:after="0"/>
        <w:jc w:val="both"/>
        <w:rPr>
          <w:rFonts w:ascii="Arial" w:hAnsi="Arial" w:cs="Arial"/>
          <w:b/>
          <w:sz w:val="20"/>
          <w:szCs w:val="20"/>
        </w:rPr>
      </w:pPr>
      <w:r w:rsidRPr="00583041">
        <w:rPr>
          <w:rFonts w:ascii="Arial" w:hAnsi="Arial" w:cs="Arial"/>
          <w:b/>
          <w:sz w:val="20"/>
          <w:szCs w:val="20"/>
        </w:rPr>
        <w:t>Foreign Exchange Management (Borrowing and Lending) (Amendment) Regulations, 2022</w:t>
      </w:r>
    </w:p>
    <w:p w:rsidR="00583041" w:rsidRPr="00583041" w:rsidRDefault="00583041" w:rsidP="00583041">
      <w:pPr>
        <w:spacing w:after="0"/>
        <w:jc w:val="both"/>
        <w:rPr>
          <w:rFonts w:ascii="Arial" w:hAnsi="Arial" w:cs="Arial"/>
          <w:sz w:val="20"/>
          <w:szCs w:val="20"/>
        </w:rPr>
      </w:pP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In exercise of the powers conferred by sub-section (2) of Section 6 and Section 47 of the Foreign Exchange Management Act, 1999 (42 of 1999), the Reserve Bank of India hereby makes the following amendments to the Foreign Exchange Management (Borrowing and Lending) Regulations, 2018 (Notification No. FEMA.3(R)/2018-RB dated December 17, 2018) (hereinafter referred to as 'the Principal Regulations'), namely:</w:t>
      </w:r>
    </w:p>
    <w:p w:rsidR="00583041" w:rsidRPr="00583041" w:rsidRDefault="00583041" w:rsidP="00583041">
      <w:pPr>
        <w:spacing w:after="0"/>
        <w:jc w:val="both"/>
        <w:rPr>
          <w:rFonts w:ascii="Arial" w:hAnsi="Arial" w:cs="Arial"/>
          <w:sz w:val="20"/>
          <w:szCs w:val="20"/>
        </w:rPr>
      </w:pP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1. Short Title &amp; Commencement:</w:t>
      </w:r>
    </w:p>
    <w:p w:rsidR="00583041" w:rsidRPr="00583041" w:rsidRDefault="00583041" w:rsidP="00583041">
      <w:pPr>
        <w:spacing w:after="0"/>
        <w:jc w:val="both"/>
        <w:rPr>
          <w:rFonts w:ascii="Arial" w:hAnsi="Arial" w:cs="Arial"/>
          <w:sz w:val="20"/>
          <w:szCs w:val="20"/>
        </w:rPr>
      </w:pP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w:t>
      </w:r>
      <w:proofErr w:type="spellStart"/>
      <w:r w:rsidRPr="00583041">
        <w:rPr>
          <w:rFonts w:ascii="Arial" w:hAnsi="Arial" w:cs="Arial"/>
          <w:sz w:val="20"/>
          <w:szCs w:val="20"/>
        </w:rPr>
        <w:t>i</w:t>
      </w:r>
      <w:proofErr w:type="spellEnd"/>
      <w:r w:rsidRPr="00583041">
        <w:rPr>
          <w:rFonts w:ascii="Arial" w:hAnsi="Arial" w:cs="Arial"/>
          <w:sz w:val="20"/>
          <w:szCs w:val="20"/>
        </w:rPr>
        <w:t>) These Regulations may be called the Foreign Exchange Management (Borrowing and Lending) (Third Amendment) Regulations, 2022.</w:t>
      </w:r>
    </w:p>
    <w:p w:rsidR="00583041" w:rsidRPr="00583041" w:rsidRDefault="00583041" w:rsidP="00583041">
      <w:pPr>
        <w:spacing w:after="0"/>
        <w:jc w:val="both"/>
        <w:rPr>
          <w:rFonts w:ascii="Arial" w:hAnsi="Arial" w:cs="Arial"/>
          <w:sz w:val="20"/>
          <w:szCs w:val="20"/>
        </w:rPr>
      </w:pP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(ii) They shall come into force from the date of notification in the official gazette.</w:t>
      </w:r>
    </w:p>
    <w:p w:rsidR="00583041" w:rsidRPr="00583041" w:rsidRDefault="00583041" w:rsidP="00583041">
      <w:pPr>
        <w:spacing w:after="0"/>
        <w:jc w:val="both"/>
        <w:rPr>
          <w:rFonts w:ascii="Arial" w:hAnsi="Arial" w:cs="Arial"/>
          <w:sz w:val="20"/>
          <w:szCs w:val="20"/>
        </w:rPr>
      </w:pP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2. Amendment to Paragraph 2 of Schedule 1:</w:t>
      </w:r>
    </w:p>
    <w:p w:rsidR="00583041" w:rsidRPr="00583041" w:rsidRDefault="00583041" w:rsidP="00583041">
      <w:pPr>
        <w:spacing w:after="0"/>
        <w:jc w:val="both"/>
        <w:rPr>
          <w:rFonts w:ascii="Arial" w:hAnsi="Arial" w:cs="Arial"/>
          <w:sz w:val="20"/>
          <w:szCs w:val="20"/>
        </w:rPr>
      </w:pP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After Paragraph 8 of Schedule 1 to the Principal Regulations, the following shall be added;</w:t>
      </w:r>
    </w:p>
    <w:p w:rsidR="00583041" w:rsidRPr="00583041" w:rsidRDefault="00583041" w:rsidP="00583041">
      <w:pPr>
        <w:spacing w:after="0"/>
        <w:jc w:val="both"/>
        <w:rPr>
          <w:rFonts w:ascii="Arial" w:hAnsi="Arial" w:cs="Arial"/>
          <w:sz w:val="20"/>
          <w:szCs w:val="20"/>
        </w:rPr>
      </w:pP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“8A: The limit of USD 750 million or equivalent per financial year is temporarily increased to USD 1500 million or equivalent. This dispensation will be available for ECBs raised till December 31, 2022.”</w:t>
      </w:r>
    </w:p>
    <w:p w:rsidR="00583041" w:rsidRPr="00583041" w:rsidRDefault="00583041" w:rsidP="00583041">
      <w:pPr>
        <w:spacing w:after="0"/>
        <w:jc w:val="both"/>
        <w:rPr>
          <w:rFonts w:ascii="Arial" w:hAnsi="Arial" w:cs="Arial"/>
          <w:sz w:val="20"/>
          <w:szCs w:val="20"/>
        </w:rPr>
      </w:pP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 xml:space="preserve">(Ajay Kumar </w:t>
      </w:r>
      <w:proofErr w:type="spellStart"/>
      <w:r w:rsidRPr="00583041">
        <w:rPr>
          <w:rFonts w:ascii="Arial" w:hAnsi="Arial" w:cs="Arial"/>
          <w:sz w:val="20"/>
          <w:szCs w:val="20"/>
        </w:rPr>
        <w:t>Misra</w:t>
      </w:r>
      <w:proofErr w:type="spellEnd"/>
      <w:r w:rsidRPr="00583041">
        <w:rPr>
          <w:rFonts w:ascii="Arial" w:hAnsi="Arial" w:cs="Arial"/>
          <w:sz w:val="20"/>
          <w:szCs w:val="20"/>
        </w:rPr>
        <w:t>)</w:t>
      </w:r>
    </w:p>
    <w:p w:rsidR="001E7AD4" w:rsidRDefault="00583041" w:rsidP="00583041">
      <w:pPr>
        <w:spacing w:after="0"/>
        <w:jc w:val="both"/>
        <w:rPr>
          <w:rFonts w:ascii="Arial" w:hAnsi="Arial" w:cs="Arial"/>
          <w:sz w:val="20"/>
          <w:szCs w:val="20"/>
        </w:rPr>
      </w:pPr>
      <w:r w:rsidRPr="00583041">
        <w:rPr>
          <w:rFonts w:ascii="Arial" w:hAnsi="Arial" w:cs="Arial"/>
          <w:sz w:val="20"/>
          <w:szCs w:val="20"/>
        </w:rPr>
        <w:t>Chief General Manager-in-charge</w:t>
      </w:r>
    </w:p>
    <w:p w:rsidR="001E7AD4" w:rsidRDefault="001E7AD4" w:rsidP="00BF2165"/>
    <w:p w:rsidR="00583041" w:rsidRDefault="00583041" w:rsidP="00BF2165"/>
    <w:p w:rsidR="00583041" w:rsidRDefault="00583041" w:rsidP="00583041">
      <w:r>
        <w:t>More details can be referred to in the below link.</w:t>
      </w:r>
    </w:p>
    <w:p w:rsidR="00583041" w:rsidRDefault="00583041" w:rsidP="00583041">
      <w:pPr>
        <w:rPr>
          <w:rFonts w:ascii="Arial" w:hAnsi="Arial" w:cs="Arial"/>
          <w:sz w:val="20"/>
          <w:szCs w:val="20"/>
        </w:rPr>
      </w:pPr>
      <w:r>
        <w:rPr>
          <w:rFonts w:ascii="Arial" w:hAnsi="Arial" w:cs="Arial"/>
          <w:sz w:val="20"/>
          <w:szCs w:val="20"/>
        </w:rPr>
        <w:t xml:space="preserve">Reference Link: </w:t>
      </w:r>
      <w:hyperlink r:id="rId16" w:anchor=":~:text=%E2%80%9C8A%3A%20The%20limit%20of%20USD,till%20December%2031%2C%202022.%E2%80%9D&amp;text=Foot%20Note%3A%20%2D%20The%20Principal%20Regulations,No" w:history="1">
        <w:r w:rsidR="002A3764" w:rsidRPr="00200311">
          <w:rPr>
            <w:rStyle w:val="Hyperlink"/>
            <w:rFonts w:ascii="Arial" w:hAnsi="Arial" w:cs="Arial"/>
            <w:sz w:val="20"/>
            <w:szCs w:val="20"/>
          </w:rPr>
          <w:t>https://www.rbi.org.in/scripts/FS_Notification.aspx?Id=12377&amp;fn=5&amp;Mode=0#:~:text=%E2%80%9C8A%3A%20The%20limit%20of%20USD,till%20December%2031%2C%202022.%E2%80%9D&amp;text=Foot%20Note%3A%20%2D%20The%20Principal%20Regulations,No</w:t>
        </w:r>
      </w:hyperlink>
      <w:r w:rsidR="002A3764" w:rsidRPr="002A3764">
        <w:rPr>
          <w:rFonts w:ascii="Arial" w:hAnsi="Arial" w:cs="Arial"/>
          <w:sz w:val="20"/>
          <w:szCs w:val="20"/>
        </w:rPr>
        <w:t>.</w:t>
      </w:r>
    </w:p>
    <w:p w:rsidR="002A3764" w:rsidRDefault="002A3764" w:rsidP="00583041">
      <w:pPr>
        <w:rPr>
          <w:rFonts w:ascii="Arial" w:hAnsi="Arial" w:cs="Arial"/>
          <w:sz w:val="20"/>
          <w:szCs w:val="20"/>
        </w:rPr>
      </w:pPr>
    </w:p>
    <w:p w:rsidR="00583041" w:rsidRDefault="00583041" w:rsidP="00583041">
      <w:pPr>
        <w:rPr>
          <w:rFonts w:ascii="Arial" w:hAnsi="Arial" w:cs="Arial"/>
          <w:sz w:val="20"/>
          <w:szCs w:val="20"/>
        </w:rPr>
      </w:pPr>
    </w:p>
    <w:p w:rsidR="00B71788" w:rsidRDefault="00B71788" w:rsidP="00583041">
      <w:pPr>
        <w:rPr>
          <w:rFonts w:ascii="Arial" w:hAnsi="Arial" w:cs="Arial"/>
          <w:sz w:val="20"/>
          <w:szCs w:val="20"/>
        </w:rPr>
      </w:pPr>
    </w:p>
    <w:p w:rsidR="00583041" w:rsidRDefault="00583041" w:rsidP="00583041">
      <w:pPr>
        <w:rPr>
          <w:rFonts w:ascii="Arial" w:hAnsi="Arial" w:cs="Arial"/>
          <w:sz w:val="20"/>
          <w:szCs w:val="20"/>
        </w:rPr>
      </w:pPr>
    </w:p>
    <w:p w:rsidR="00583041" w:rsidRDefault="00583041" w:rsidP="00583041">
      <w:pPr>
        <w:rPr>
          <w:rFonts w:ascii="Arial" w:hAnsi="Arial" w:cs="Arial"/>
          <w:sz w:val="20"/>
          <w:szCs w:val="20"/>
        </w:rPr>
      </w:pPr>
    </w:p>
    <w:p w:rsidR="00583041" w:rsidRDefault="00583041" w:rsidP="00583041">
      <w:pPr>
        <w:rPr>
          <w:rFonts w:ascii="Arial" w:hAnsi="Arial" w:cs="Arial"/>
          <w:sz w:val="20"/>
          <w:szCs w:val="20"/>
        </w:rPr>
      </w:pPr>
    </w:p>
    <w:p w:rsidR="00583041" w:rsidRDefault="00583041" w:rsidP="00583041">
      <w:pPr>
        <w:rPr>
          <w:rFonts w:ascii="Arial" w:hAnsi="Arial" w:cs="Arial"/>
          <w:sz w:val="20"/>
          <w:szCs w:val="20"/>
        </w:rPr>
      </w:pPr>
    </w:p>
    <w:p w:rsidR="00583041" w:rsidRDefault="00583041" w:rsidP="00583041">
      <w:pPr>
        <w:rPr>
          <w:rFonts w:ascii="Arial" w:hAnsi="Arial" w:cs="Arial"/>
          <w:sz w:val="20"/>
          <w:szCs w:val="20"/>
        </w:rPr>
      </w:pPr>
    </w:p>
    <w:p w:rsidR="00583041" w:rsidRDefault="00583041" w:rsidP="00583041">
      <w:pPr>
        <w:rPr>
          <w:rFonts w:ascii="Arial" w:hAnsi="Arial" w:cs="Arial"/>
          <w:sz w:val="20"/>
          <w:szCs w:val="20"/>
        </w:rPr>
      </w:pPr>
    </w:p>
    <w:p w:rsidR="00583041" w:rsidRDefault="00583041" w:rsidP="00583041">
      <w:pPr>
        <w:rPr>
          <w:rFonts w:ascii="Arial" w:hAnsi="Arial" w:cs="Arial"/>
          <w:sz w:val="20"/>
          <w:szCs w:val="20"/>
        </w:rPr>
      </w:pPr>
    </w:p>
    <w:p w:rsidR="00583041" w:rsidRPr="00583041" w:rsidRDefault="00583041" w:rsidP="00583041">
      <w:pPr>
        <w:spacing w:line="240" w:lineRule="auto"/>
        <w:rPr>
          <w:rFonts w:ascii="Arial" w:hAnsi="Arial" w:cs="Arial"/>
          <w:sz w:val="20"/>
          <w:szCs w:val="20"/>
        </w:rPr>
      </w:pPr>
      <w:r w:rsidRPr="00583041">
        <w:rPr>
          <w:rFonts w:ascii="Arial" w:hAnsi="Arial" w:cs="Arial"/>
          <w:b/>
          <w:bCs/>
          <w:sz w:val="20"/>
          <w:szCs w:val="20"/>
        </w:rPr>
        <w:t>External Commercial Borrowings (ECB) Policy – Liberalisation Measures</w:t>
      </w:r>
    </w:p>
    <w:tbl>
      <w:tblPr>
        <w:tblW w:w="5000" w:type="pct"/>
        <w:jc w:val="center"/>
        <w:tblCellMar>
          <w:top w:w="15" w:type="dxa"/>
          <w:left w:w="15" w:type="dxa"/>
          <w:bottom w:w="15" w:type="dxa"/>
          <w:right w:w="15" w:type="dxa"/>
        </w:tblCellMar>
        <w:tblLook w:val="04A0" w:firstRow="1" w:lastRow="0" w:firstColumn="1" w:lastColumn="0" w:noHBand="0" w:noVBand="1"/>
      </w:tblPr>
      <w:tblGrid>
        <w:gridCol w:w="9026"/>
      </w:tblGrid>
      <w:tr w:rsidR="00583041" w:rsidRPr="00583041" w:rsidTr="00583041">
        <w:trPr>
          <w:jc w:val="center"/>
        </w:trPr>
        <w:tc>
          <w:tcPr>
            <w:tcW w:w="0" w:type="auto"/>
            <w:tcBorders>
              <w:top w:val="nil"/>
              <w:left w:val="nil"/>
              <w:bottom w:val="nil"/>
              <w:right w:val="nil"/>
            </w:tcBorders>
            <w:tcMar>
              <w:top w:w="15" w:type="dxa"/>
              <w:left w:w="45" w:type="dxa"/>
              <w:bottom w:w="15" w:type="dxa"/>
              <w:right w:w="45" w:type="dxa"/>
            </w:tcMar>
            <w:vAlign w:val="center"/>
            <w:hideMark/>
          </w:tcPr>
          <w:p w:rsidR="00583041" w:rsidRPr="00583041" w:rsidRDefault="00583041" w:rsidP="00CE14AF">
            <w:pPr>
              <w:pStyle w:val="NormalWeb"/>
              <w:spacing w:before="0" w:beforeAutospacing="0"/>
              <w:rPr>
                <w:rFonts w:ascii="Arial" w:hAnsi="Arial" w:cs="Arial"/>
                <w:sz w:val="20"/>
                <w:szCs w:val="20"/>
              </w:rPr>
            </w:pPr>
            <w:r w:rsidRPr="00583041">
              <w:rPr>
                <w:rFonts w:ascii="Arial" w:hAnsi="Arial" w:cs="Arial"/>
                <w:sz w:val="20"/>
                <w:szCs w:val="20"/>
              </w:rPr>
              <w:t>RBI/2022-23/98</w:t>
            </w:r>
            <w:r w:rsidRPr="00583041">
              <w:rPr>
                <w:rFonts w:ascii="Arial" w:hAnsi="Arial" w:cs="Arial"/>
                <w:sz w:val="20"/>
                <w:szCs w:val="20"/>
              </w:rPr>
              <w:br/>
              <w:t>A.P. (DIR Series) Circular No. 11</w:t>
            </w:r>
          </w:p>
          <w:p w:rsidR="00583041" w:rsidRPr="00583041" w:rsidRDefault="00583041" w:rsidP="002A3764">
            <w:pPr>
              <w:pStyle w:val="NormalWeb"/>
              <w:spacing w:before="0" w:beforeAutospacing="0"/>
              <w:jc w:val="right"/>
              <w:rPr>
                <w:rFonts w:ascii="Arial" w:hAnsi="Arial" w:cs="Arial"/>
                <w:sz w:val="20"/>
                <w:szCs w:val="20"/>
              </w:rPr>
            </w:pPr>
            <w:r w:rsidRPr="00583041">
              <w:rPr>
                <w:rFonts w:ascii="Arial" w:hAnsi="Arial" w:cs="Arial"/>
                <w:sz w:val="20"/>
                <w:szCs w:val="20"/>
              </w:rPr>
              <w:t>August 1, 2022</w:t>
            </w:r>
          </w:p>
          <w:p w:rsidR="00583041" w:rsidRPr="00583041" w:rsidRDefault="00583041" w:rsidP="00CE14AF">
            <w:pPr>
              <w:pStyle w:val="NormalWeb"/>
              <w:spacing w:before="0" w:beforeAutospacing="0" w:after="0" w:afterAutospacing="0"/>
              <w:rPr>
                <w:rFonts w:ascii="Arial" w:hAnsi="Arial" w:cs="Arial"/>
                <w:sz w:val="20"/>
                <w:szCs w:val="20"/>
              </w:rPr>
            </w:pPr>
            <w:r w:rsidRPr="00583041">
              <w:rPr>
                <w:rFonts w:ascii="Arial" w:hAnsi="Arial" w:cs="Arial"/>
                <w:sz w:val="20"/>
                <w:szCs w:val="20"/>
              </w:rPr>
              <w:t>To</w:t>
            </w:r>
          </w:p>
          <w:p w:rsidR="00583041" w:rsidRPr="00583041" w:rsidRDefault="00583041" w:rsidP="00CE14AF">
            <w:pPr>
              <w:pStyle w:val="NormalWeb"/>
              <w:spacing w:before="0" w:beforeAutospacing="0" w:after="0" w:afterAutospacing="0"/>
              <w:rPr>
                <w:rFonts w:ascii="Arial" w:hAnsi="Arial" w:cs="Arial"/>
                <w:sz w:val="20"/>
                <w:szCs w:val="20"/>
              </w:rPr>
            </w:pPr>
            <w:r w:rsidRPr="00583041">
              <w:rPr>
                <w:rFonts w:ascii="Arial" w:hAnsi="Arial" w:cs="Arial"/>
                <w:sz w:val="20"/>
                <w:szCs w:val="20"/>
              </w:rPr>
              <w:t>All Category-I Authorised Dealer Banks</w:t>
            </w:r>
          </w:p>
          <w:p w:rsidR="00CE14AF" w:rsidRPr="00CE14AF" w:rsidRDefault="00583041" w:rsidP="00CE14AF">
            <w:pPr>
              <w:pStyle w:val="NormalWeb"/>
              <w:spacing w:before="0" w:beforeAutospacing="0" w:after="0" w:afterAutospacing="0"/>
              <w:rPr>
                <w:rFonts w:ascii="Arial" w:hAnsi="Arial" w:cs="Arial"/>
                <w:sz w:val="20"/>
                <w:szCs w:val="20"/>
              </w:rPr>
            </w:pPr>
            <w:r w:rsidRPr="00583041">
              <w:rPr>
                <w:rFonts w:ascii="Arial" w:hAnsi="Arial" w:cs="Arial"/>
                <w:sz w:val="20"/>
                <w:szCs w:val="20"/>
              </w:rPr>
              <w:t>Madam / Sir,</w:t>
            </w:r>
          </w:p>
          <w:p w:rsidR="00583041" w:rsidRPr="00583041" w:rsidRDefault="00583041">
            <w:pPr>
              <w:pStyle w:val="head"/>
              <w:jc w:val="center"/>
              <w:rPr>
                <w:rFonts w:ascii="Arial" w:hAnsi="Arial" w:cs="Arial"/>
                <w:b/>
                <w:bCs/>
                <w:sz w:val="20"/>
                <w:szCs w:val="20"/>
              </w:rPr>
            </w:pPr>
            <w:r w:rsidRPr="00583041">
              <w:rPr>
                <w:rFonts w:ascii="Arial" w:hAnsi="Arial" w:cs="Arial"/>
                <w:b/>
                <w:bCs/>
                <w:sz w:val="20"/>
                <w:szCs w:val="20"/>
              </w:rPr>
              <w:t>External Commercial Borrowings (ECB) Policy – Liberalisation Measures</w:t>
            </w:r>
          </w:p>
          <w:p w:rsidR="00583041" w:rsidRPr="00583041" w:rsidRDefault="00583041" w:rsidP="00583041">
            <w:pPr>
              <w:pStyle w:val="NormalWeb"/>
              <w:spacing w:before="0" w:beforeAutospacing="0"/>
              <w:rPr>
                <w:rFonts w:ascii="Arial" w:hAnsi="Arial" w:cs="Arial"/>
                <w:sz w:val="20"/>
                <w:szCs w:val="20"/>
              </w:rPr>
            </w:pPr>
            <w:r w:rsidRPr="00583041">
              <w:rPr>
                <w:rFonts w:ascii="Arial" w:hAnsi="Arial" w:cs="Arial"/>
                <w:sz w:val="20"/>
                <w:szCs w:val="20"/>
              </w:rPr>
              <w:t>Attention is invited to paragraph 2.2 of </w:t>
            </w:r>
            <w:hyperlink r:id="rId17" w:tgtFrame="_blank" w:history="1">
              <w:r w:rsidRPr="00583041">
                <w:rPr>
                  <w:rStyle w:val="Hyperlink"/>
                  <w:rFonts w:ascii="Arial" w:hAnsi="Arial" w:cs="Arial"/>
                  <w:sz w:val="20"/>
                  <w:szCs w:val="20"/>
                </w:rPr>
                <w:t>FED Master Direction No.5 on External Commercial Borrowings, Trade Credits and Structured Obligations, dated March 26, 2019</w:t>
              </w:r>
            </w:hyperlink>
            <w:r w:rsidRPr="00583041">
              <w:rPr>
                <w:rFonts w:ascii="Arial" w:hAnsi="Arial" w:cs="Arial"/>
                <w:sz w:val="20"/>
                <w:szCs w:val="20"/>
              </w:rPr>
              <w:t> (as amended from time to time), in terms of which eligible ECB borrowers are allowed to raise ECB up to USD 750 million or equivalent per financial year under the automatic route, and paragraph 2.1.vi. ibid, wherein the all-in-cost ceiling for ECBs has been specified.</w:t>
            </w:r>
          </w:p>
          <w:p w:rsidR="00583041" w:rsidRPr="00583041" w:rsidRDefault="00583041" w:rsidP="00583041">
            <w:pPr>
              <w:pStyle w:val="NormalWeb"/>
              <w:spacing w:before="0" w:beforeAutospacing="0"/>
              <w:rPr>
                <w:rFonts w:ascii="Arial" w:hAnsi="Arial" w:cs="Arial"/>
                <w:sz w:val="20"/>
                <w:szCs w:val="20"/>
              </w:rPr>
            </w:pPr>
            <w:r w:rsidRPr="00583041">
              <w:rPr>
                <w:rFonts w:ascii="Arial" w:hAnsi="Arial" w:cs="Arial"/>
                <w:sz w:val="20"/>
                <w:szCs w:val="20"/>
              </w:rPr>
              <w:t>2. As announced in paragraph five of the </w:t>
            </w:r>
            <w:hyperlink r:id="rId18" w:tgtFrame="_blank" w:history="1">
              <w:r w:rsidRPr="00583041">
                <w:rPr>
                  <w:rStyle w:val="Hyperlink"/>
                  <w:rFonts w:ascii="Arial" w:hAnsi="Arial" w:cs="Arial"/>
                  <w:sz w:val="20"/>
                  <w:szCs w:val="20"/>
                </w:rPr>
                <w:t>press release on “Liberalisation of Forex Flows” dated July 06, 2022</w:t>
              </w:r>
            </w:hyperlink>
            <w:r w:rsidRPr="00583041">
              <w:rPr>
                <w:rFonts w:ascii="Arial" w:hAnsi="Arial" w:cs="Arial"/>
                <w:sz w:val="20"/>
                <w:szCs w:val="20"/>
              </w:rPr>
              <w:t>, it has been decided, in consultation with the Central Government, to:</w:t>
            </w:r>
          </w:p>
          <w:p w:rsidR="00583041" w:rsidRPr="00583041" w:rsidRDefault="00583041" w:rsidP="00583041">
            <w:pPr>
              <w:pStyle w:val="NormalWeb"/>
              <w:spacing w:before="0" w:beforeAutospacing="0"/>
              <w:rPr>
                <w:rFonts w:ascii="Arial" w:hAnsi="Arial" w:cs="Arial"/>
                <w:sz w:val="20"/>
                <w:szCs w:val="20"/>
              </w:rPr>
            </w:pPr>
            <w:proofErr w:type="spellStart"/>
            <w:r w:rsidRPr="00583041">
              <w:rPr>
                <w:rFonts w:ascii="Arial" w:hAnsi="Arial" w:cs="Arial"/>
                <w:sz w:val="20"/>
                <w:szCs w:val="20"/>
              </w:rPr>
              <w:t>i</w:t>
            </w:r>
            <w:proofErr w:type="spellEnd"/>
            <w:r w:rsidRPr="00583041">
              <w:rPr>
                <w:rFonts w:ascii="Arial" w:hAnsi="Arial" w:cs="Arial"/>
                <w:sz w:val="20"/>
                <w:szCs w:val="20"/>
              </w:rPr>
              <w:t>) increase the automatic route limit from USD 750 million or equivalent to USD 1.5 billion or equivalent.</w:t>
            </w:r>
          </w:p>
          <w:p w:rsidR="00583041" w:rsidRPr="00583041" w:rsidRDefault="00583041" w:rsidP="00583041">
            <w:pPr>
              <w:pStyle w:val="NormalWeb"/>
              <w:spacing w:before="0" w:beforeAutospacing="0"/>
              <w:rPr>
                <w:rFonts w:ascii="Arial" w:hAnsi="Arial" w:cs="Arial"/>
                <w:sz w:val="20"/>
                <w:szCs w:val="20"/>
              </w:rPr>
            </w:pPr>
            <w:r w:rsidRPr="00583041">
              <w:rPr>
                <w:rFonts w:ascii="Arial" w:hAnsi="Arial" w:cs="Arial"/>
                <w:sz w:val="20"/>
                <w:szCs w:val="20"/>
              </w:rPr>
              <w:t>ii) increase the all-in-cost ceiling for ECBs, by 100 bps. The enhanced all-in-cost ceiling shall be available only to eligible borrowers of investment grade rating from Indian Credit Rating Agencies (CRAs). Other eligible borrowers may raise ECB within the existing all-in-cost ceiling, as hitherto.</w:t>
            </w:r>
          </w:p>
          <w:p w:rsidR="00583041" w:rsidRPr="00583041" w:rsidRDefault="00583041" w:rsidP="00583041">
            <w:pPr>
              <w:pStyle w:val="NormalWeb"/>
              <w:spacing w:before="0" w:beforeAutospacing="0"/>
              <w:rPr>
                <w:rFonts w:ascii="Arial" w:hAnsi="Arial" w:cs="Arial"/>
                <w:sz w:val="20"/>
                <w:szCs w:val="20"/>
              </w:rPr>
            </w:pPr>
            <w:r w:rsidRPr="00583041">
              <w:rPr>
                <w:rFonts w:ascii="Arial" w:hAnsi="Arial" w:cs="Arial"/>
                <w:sz w:val="20"/>
                <w:szCs w:val="20"/>
              </w:rPr>
              <w:t>The above relaxations would be available for ECBs to be raised till December 31, 2022.</w:t>
            </w:r>
          </w:p>
          <w:p w:rsidR="00583041" w:rsidRPr="00583041" w:rsidRDefault="00583041" w:rsidP="00583041">
            <w:pPr>
              <w:pStyle w:val="NormalWeb"/>
              <w:spacing w:before="0" w:beforeAutospacing="0"/>
              <w:rPr>
                <w:rFonts w:ascii="Arial" w:hAnsi="Arial" w:cs="Arial"/>
                <w:sz w:val="20"/>
                <w:szCs w:val="20"/>
              </w:rPr>
            </w:pPr>
            <w:r w:rsidRPr="00583041">
              <w:rPr>
                <w:rFonts w:ascii="Arial" w:hAnsi="Arial" w:cs="Arial"/>
                <w:sz w:val="20"/>
                <w:szCs w:val="20"/>
              </w:rPr>
              <w:t>3. AD Category-I banks may bring the contents of this circular to the notice of their constituents and customers.</w:t>
            </w:r>
          </w:p>
          <w:p w:rsidR="00583041" w:rsidRPr="00583041" w:rsidRDefault="00583041" w:rsidP="00583041">
            <w:pPr>
              <w:pStyle w:val="NormalWeb"/>
              <w:spacing w:before="0" w:beforeAutospacing="0"/>
              <w:rPr>
                <w:rFonts w:ascii="Arial" w:hAnsi="Arial" w:cs="Arial"/>
                <w:sz w:val="20"/>
                <w:szCs w:val="20"/>
              </w:rPr>
            </w:pPr>
            <w:r w:rsidRPr="00583041">
              <w:rPr>
                <w:rFonts w:ascii="Arial" w:hAnsi="Arial" w:cs="Arial"/>
                <w:sz w:val="20"/>
                <w:szCs w:val="20"/>
              </w:rPr>
              <w:t>4. The aforesaid Master Direction No. 5, is being updated to reflect these changes.</w:t>
            </w:r>
          </w:p>
          <w:p w:rsidR="00583041" w:rsidRPr="00583041" w:rsidRDefault="00583041" w:rsidP="00583041">
            <w:pPr>
              <w:pStyle w:val="NormalWeb"/>
              <w:spacing w:before="0" w:beforeAutospacing="0"/>
              <w:rPr>
                <w:rFonts w:ascii="Arial" w:hAnsi="Arial" w:cs="Arial"/>
                <w:sz w:val="20"/>
                <w:szCs w:val="20"/>
              </w:rPr>
            </w:pPr>
            <w:r w:rsidRPr="00583041">
              <w:rPr>
                <w:rFonts w:ascii="Arial" w:hAnsi="Arial" w:cs="Arial"/>
                <w:sz w:val="20"/>
                <w:szCs w:val="20"/>
              </w:rPr>
              <w:t>5. Necessary amendments to the relevant regulations have been made through </w:t>
            </w:r>
            <w:r w:rsidRPr="00583041">
              <w:rPr>
                <w:rFonts w:ascii="Arial" w:hAnsi="Arial" w:cs="Arial"/>
                <w:sz w:val="20"/>
                <w:szCs w:val="20"/>
                <w:u w:val="single"/>
              </w:rPr>
              <w:t>the Foreign Exchange Management (Borrowing and Lending) (Amendment) Regulations, 2022, notified vide </w:t>
            </w:r>
            <w:hyperlink r:id="rId19" w:tgtFrame="_blank" w:history="1">
              <w:r w:rsidRPr="00583041">
                <w:rPr>
                  <w:rStyle w:val="Hyperlink"/>
                  <w:rFonts w:ascii="Arial" w:hAnsi="Arial" w:cs="Arial"/>
                  <w:sz w:val="20"/>
                  <w:szCs w:val="20"/>
                </w:rPr>
                <w:t>notification No. FEMA.3(R)(3)/2022-RB dated July 29, 2022</w:t>
              </w:r>
            </w:hyperlink>
            <w:r w:rsidRPr="00583041">
              <w:rPr>
                <w:rFonts w:ascii="Arial" w:hAnsi="Arial" w:cs="Arial"/>
                <w:sz w:val="20"/>
                <w:szCs w:val="20"/>
              </w:rPr>
              <w:t>.</w:t>
            </w:r>
          </w:p>
          <w:p w:rsidR="00583041" w:rsidRPr="00583041" w:rsidRDefault="00583041" w:rsidP="00583041">
            <w:pPr>
              <w:pStyle w:val="NormalWeb"/>
              <w:spacing w:before="0" w:beforeAutospacing="0"/>
              <w:rPr>
                <w:rFonts w:ascii="Arial" w:hAnsi="Arial" w:cs="Arial"/>
                <w:sz w:val="20"/>
                <w:szCs w:val="20"/>
              </w:rPr>
            </w:pPr>
            <w:r w:rsidRPr="00583041">
              <w:rPr>
                <w:rFonts w:ascii="Arial" w:hAnsi="Arial" w:cs="Arial"/>
                <w:sz w:val="20"/>
                <w:szCs w:val="20"/>
              </w:rPr>
              <w:t>6. The directions contained in this circular have been issued under section 10(4) and 11(2) of the Foreign Exchange Management Act, 1999 (42 of 1999) and are without prejudice to permissions/ approvals, if any, required under any other law.</w:t>
            </w:r>
          </w:p>
          <w:p w:rsidR="00583041" w:rsidRPr="00583041" w:rsidRDefault="00583041" w:rsidP="00F81595">
            <w:pPr>
              <w:pStyle w:val="NormalWeb"/>
              <w:spacing w:after="0" w:afterAutospacing="0"/>
              <w:rPr>
                <w:rFonts w:ascii="Arial" w:hAnsi="Arial" w:cs="Arial"/>
                <w:sz w:val="20"/>
                <w:szCs w:val="20"/>
              </w:rPr>
            </w:pPr>
            <w:r w:rsidRPr="00583041">
              <w:rPr>
                <w:rFonts w:ascii="Arial" w:hAnsi="Arial" w:cs="Arial"/>
                <w:sz w:val="20"/>
                <w:szCs w:val="20"/>
              </w:rPr>
              <w:t>Yours faithfully,</w:t>
            </w:r>
          </w:p>
          <w:p w:rsidR="00583041" w:rsidRPr="00583041" w:rsidRDefault="00583041" w:rsidP="00583041">
            <w:pPr>
              <w:pStyle w:val="NormalWeb"/>
              <w:rPr>
                <w:rFonts w:ascii="Arial" w:hAnsi="Arial" w:cs="Arial"/>
                <w:sz w:val="20"/>
                <w:szCs w:val="20"/>
              </w:rPr>
            </w:pPr>
            <w:r w:rsidRPr="00583041">
              <w:rPr>
                <w:rFonts w:ascii="Arial" w:hAnsi="Arial" w:cs="Arial"/>
                <w:sz w:val="20"/>
                <w:szCs w:val="20"/>
              </w:rPr>
              <w:t xml:space="preserve">(Ajay Kumar </w:t>
            </w:r>
            <w:proofErr w:type="spellStart"/>
            <w:r w:rsidRPr="00583041">
              <w:rPr>
                <w:rFonts w:ascii="Arial" w:hAnsi="Arial" w:cs="Arial"/>
                <w:sz w:val="20"/>
                <w:szCs w:val="20"/>
              </w:rPr>
              <w:t>Misra</w:t>
            </w:r>
            <w:proofErr w:type="spellEnd"/>
            <w:r w:rsidRPr="00583041">
              <w:rPr>
                <w:rFonts w:ascii="Arial" w:hAnsi="Arial" w:cs="Arial"/>
                <w:sz w:val="20"/>
                <w:szCs w:val="20"/>
              </w:rPr>
              <w:t>)</w:t>
            </w:r>
            <w:r w:rsidRPr="00583041">
              <w:rPr>
                <w:rFonts w:ascii="Arial" w:hAnsi="Arial" w:cs="Arial"/>
                <w:sz w:val="20"/>
                <w:szCs w:val="20"/>
              </w:rPr>
              <w:br/>
              <w:t>Chief General Manager-in-Charge</w:t>
            </w:r>
          </w:p>
        </w:tc>
      </w:tr>
    </w:tbl>
    <w:p w:rsidR="00583041" w:rsidRDefault="00583041" w:rsidP="00583041"/>
    <w:p w:rsidR="00CE14AF" w:rsidRDefault="00CE14AF" w:rsidP="00F81595">
      <w:pPr>
        <w:spacing w:after="0"/>
      </w:pPr>
      <w:r>
        <w:t>More details can be referred to in the below link.</w:t>
      </w:r>
    </w:p>
    <w:p w:rsidR="00CE14AF" w:rsidRDefault="00CE14AF" w:rsidP="00CE14AF">
      <w:pPr>
        <w:rPr>
          <w:rFonts w:ascii="Arial" w:hAnsi="Arial" w:cs="Arial"/>
          <w:sz w:val="20"/>
          <w:szCs w:val="20"/>
        </w:rPr>
      </w:pPr>
      <w:r>
        <w:rPr>
          <w:rFonts w:ascii="Arial" w:hAnsi="Arial" w:cs="Arial"/>
          <w:sz w:val="20"/>
          <w:szCs w:val="20"/>
        </w:rPr>
        <w:t xml:space="preserve">Reference Link: </w:t>
      </w:r>
      <w:hyperlink r:id="rId20" w:history="1">
        <w:r w:rsidRPr="00200311">
          <w:rPr>
            <w:rStyle w:val="Hyperlink"/>
            <w:rFonts w:ascii="Arial" w:hAnsi="Arial" w:cs="Arial"/>
            <w:sz w:val="20"/>
            <w:szCs w:val="20"/>
          </w:rPr>
          <w:t>https://www.rbi.org.in/Scripts/NotificationUser.aspx?Id=12366&amp;Mode=0</w:t>
        </w:r>
      </w:hyperlink>
    </w:p>
    <w:p w:rsidR="00CE14AF" w:rsidRDefault="00C754F7" w:rsidP="00CE14AF">
      <w:pPr>
        <w:rPr>
          <w:rFonts w:ascii="Arial" w:hAnsi="Arial" w:cs="Arial"/>
          <w:b/>
          <w:bCs/>
          <w:color w:val="000000"/>
          <w:sz w:val="20"/>
          <w:szCs w:val="20"/>
        </w:rPr>
      </w:pPr>
      <w:r>
        <w:rPr>
          <w:rFonts w:ascii="Arial" w:hAnsi="Arial" w:cs="Arial"/>
          <w:b/>
          <w:bCs/>
          <w:color w:val="000000"/>
          <w:sz w:val="20"/>
          <w:szCs w:val="20"/>
        </w:rPr>
        <w:lastRenderedPageBreak/>
        <w:t>Authorised Dealer Category-I License eligibility for Small Finance Banks</w:t>
      </w:r>
    </w:p>
    <w:p w:rsidR="00C754F7" w:rsidRDefault="00C754F7" w:rsidP="00C754F7">
      <w:pPr>
        <w:pStyle w:val="NormalWeb"/>
        <w:jc w:val="both"/>
        <w:rPr>
          <w:rFonts w:ascii="Arial" w:hAnsi="Arial" w:cs="Arial"/>
          <w:color w:val="000000"/>
          <w:sz w:val="20"/>
          <w:szCs w:val="20"/>
        </w:rPr>
      </w:pPr>
      <w:r>
        <w:rPr>
          <w:rFonts w:ascii="Arial" w:hAnsi="Arial" w:cs="Arial"/>
          <w:color w:val="000000"/>
          <w:sz w:val="20"/>
          <w:szCs w:val="20"/>
        </w:rPr>
        <w:t>RBI/2022-23/104</w:t>
      </w:r>
      <w:r>
        <w:rPr>
          <w:rFonts w:ascii="Arial" w:hAnsi="Arial" w:cs="Arial"/>
          <w:color w:val="000000"/>
          <w:sz w:val="20"/>
          <w:szCs w:val="20"/>
        </w:rPr>
        <w:br/>
        <w:t>DOR.LIC.REC.60/16.13.218/2022-23</w:t>
      </w:r>
    </w:p>
    <w:p w:rsidR="00C754F7" w:rsidRDefault="00C754F7" w:rsidP="00C754F7">
      <w:pPr>
        <w:pStyle w:val="NormalWeb"/>
        <w:jc w:val="right"/>
        <w:rPr>
          <w:rFonts w:ascii="Arial" w:hAnsi="Arial" w:cs="Arial"/>
          <w:color w:val="000000"/>
          <w:sz w:val="20"/>
          <w:szCs w:val="20"/>
        </w:rPr>
      </w:pPr>
      <w:r>
        <w:rPr>
          <w:rFonts w:ascii="Arial" w:hAnsi="Arial" w:cs="Arial"/>
          <w:color w:val="000000"/>
          <w:sz w:val="20"/>
          <w:szCs w:val="20"/>
        </w:rPr>
        <w:t>August 8, 2022</w:t>
      </w:r>
    </w:p>
    <w:p w:rsidR="00C754F7" w:rsidRDefault="00C754F7" w:rsidP="00C754F7">
      <w:pPr>
        <w:pStyle w:val="NormalWeb"/>
        <w:jc w:val="both"/>
        <w:rPr>
          <w:rFonts w:ascii="Arial" w:hAnsi="Arial" w:cs="Arial"/>
          <w:color w:val="000000"/>
          <w:sz w:val="20"/>
          <w:szCs w:val="20"/>
        </w:rPr>
      </w:pPr>
      <w:r>
        <w:rPr>
          <w:rFonts w:ascii="Arial" w:hAnsi="Arial" w:cs="Arial"/>
          <w:color w:val="000000"/>
          <w:sz w:val="20"/>
          <w:szCs w:val="20"/>
        </w:rPr>
        <w:t>Managing Director and Chief Executive Officers of Small Finance Banks</w:t>
      </w:r>
    </w:p>
    <w:p w:rsidR="00C754F7" w:rsidRDefault="00C754F7" w:rsidP="00C754F7">
      <w:pPr>
        <w:pStyle w:val="NormalWeb"/>
        <w:jc w:val="both"/>
        <w:rPr>
          <w:rFonts w:ascii="Arial" w:hAnsi="Arial" w:cs="Arial"/>
          <w:color w:val="000000"/>
          <w:sz w:val="20"/>
          <w:szCs w:val="20"/>
        </w:rPr>
      </w:pPr>
      <w:r>
        <w:rPr>
          <w:rFonts w:ascii="Arial" w:hAnsi="Arial" w:cs="Arial"/>
          <w:color w:val="000000"/>
          <w:sz w:val="20"/>
          <w:szCs w:val="20"/>
        </w:rPr>
        <w:t>Madam/ Dear Sir,</w:t>
      </w:r>
    </w:p>
    <w:p w:rsidR="00C754F7" w:rsidRDefault="00C754F7" w:rsidP="00C754F7">
      <w:pPr>
        <w:pStyle w:val="head"/>
        <w:jc w:val="both"/>
        <w:rPr>
          <w:rFonts w:ascii="Arial" w:hAnsi="Arial" w:cs="Arial"/>
          <w:b/>
          <w:bCs/>
          <w:color w:val="000000"/>
          <w:sz w:val="20"/>
          <w:szCs w:val="20"/>
        </w:rPr>
      </w:pPr>
      <w:r>
        <w:rPr>
          <w:rFonts w:ascii="Arial" w:hAnsi="Arial" w:cs="Arial"/>
          <w:b/>
          <w:bCs/>
          <w:color w:val="000000"/>
          <w:sz w:val="20"/>
          <w:szCs w:val="20"/>
        </w:rPr>
        <w:t>Authorised Dealer Category-I License eligibility for Small Finance Banks</w:t>
      </w:r>
    </w:p>
    <w:p w:rsidR="00C754F7" w:rsidRDefault="00C754F7" w:rsidP="00C754F7">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21" w:tgtFrame="_blank" w:history="1">
        <w:r>
          <w:rPr>
            <w:rStyle w:val="Hyperlink"/>
            <w:rFonts w:ascii="Arial" w:hAnsi="Arial" w:cs="Arial"/>
            <w:sz w:val="20"/>
            <w:szCs w:val="20"/>
          </w:rPr>
          <w:t>‘Guidelines for Licensing of Small Finance Banks in Private Sector’ dated November 27, 2014</w:t>
        </w:r>
      </w:hyperlink>
      <w:r>
        <w:rPr>
          <w:rFonts w:ascii="Arial" w:hAnsi="Arial" w:cs="Arial"/>
          <w:color w:val="000000"/>
          <w:sz w:val="20"/>
          <w:szCs w:val="20"/>
        </w:rPr>
        <w:t> and the </w:t>
      </w:r>
      <w:hyperlink r:id="rId22" w:tgtFrame="_blank" w:history="1">
        <w:r>
          <w:rPr>
            <w:rStyle w:val="Hyperlink"/>
            <w:rFonts w:ascii="Arial" w:hAnsi="Arial" w:cs="Arial"/>
            <w:sz w:val="20"/>
            <w:szCs w:val="20"/>
          </w:rPr>
          <w:t>‘Guidelines for ‘on-tap’ Licensing of Small Finance Banks in Private Sector’ released by Reserve Bank on December 5, 2019</w:t>
        </w:r>
      </w:hyperlink>
      <w:r>
        <w:rPr>
          <w:rFonts w:ascii="Arial" w:hAnsi="Arial" w:cs="Arial"/>
          <w:color w:val="000000"/>
          <w:sz w:val="20"/>
          <w:szCs w:val="20"/>
        </w:rPr>
        <w:t>.</w:t>
      </w:r>
    </w:p>
    <w:p w:rsidR="00C754F7" w:rsidRDefault="00C754F7" w:rsidP="00C754F7">
      <w:pPr>
        <w:pStyle w:val="NormalWeb"/>
        <w:jc w:val="both"/>
        <w:rPr>
          <w:rFonts w:ascii="Arial" w:hAnsi="Arial" w:cs="Arial"/>
          <w:color w:val="000000"/>
          <w:sz w:val="20"/>
          <w:szCs w:val="20"/>
        </w:rPr>
      </w:pPr>
      <w:r>
        <w:rPr>
          <w:rFonts w:ascii="Arial" w:hAnsi="Arial" w:cs="Arial"/>
          <w:color w:val="000000"/>
          <w:sz w:val="20"/>
          <w:szCs w:val="20"/>
        </w:rPr>
        <w:t>2. In terms of paragraph 4 of the aforesaid Licensing Guidelines, a small finance bank (SFB) can also become Authorised Dealer Category-II in foreign exchange business for its clients’ requirements.</w:t>
      </w:r>
    </w:p>
    <w:p w:rsidR="00C754F7" w:rsidRDefault="00C754F7" w:rsidP="00C754F7">
      <w:pPr>
        <w:pStyle w:val="NormalWeb"/>
        <w:jc w:val="both"/>
        <w:rPr>
          <w:rFonts w:ascii="Arial" w:hAnsi="Arial" w:cs="Arial"/>
          <w:color w:val="000000"/>
          <w:sz w:val="20"/>
          <w:szCs w:val="20"/>
        </w:rPr>
      </w:pPr>
      <w:r>
        <w:rPr>
          <w:rFonts w:ascii="Arial" w:hAnsi="Arial" w:cs="Arial"/>
          <w:color w:val="000000"/>
          <w:sz w:val="20"/>
          <w:szCs w:val="20"/>
        </w:rPr>
        <w:t>3. With the objective of giving more flexibility to SFBs to meet their customers’ foreign exchange business requirement, it has been decided that all the scheduled SFBs, after completion of at least two years of operations as Authorised Dealer Category-II, will be eligible for Authorised Dealer Category-I license, subject to compliance with the eligibility norms given in the </w:t>
      </w:r>
      <w:hyperlink r:id="rId23" w:anchor="AN1" w:history="1">
        <w:r>
          <w:rPr>
            <w:rStyle w:val="Hyperlink"/>
            <w:rFonts w:ascii="Arial" w:hAnsi="Arial" w:cs="Arial"/>
            <w:sz w:val="20"/>
            <w:szCs w:val="20"/>
          </w:rPr>
          <w:t>Annex-I</w:t>
        </w:r>
      </w:hyperlink>
      <w:r>
        <w:rPr>
          <w:rFonts w:ascii="Arial" w:hAnsi="Arial" w:cs="Arial"/>
          <w:color w:val="000000"/>
          <w:sz w:val="20"/>
          <w:szCs w:val="20"/>
        </w:rPr>
        <w:t>. The eligible SFBs may approach Foreign Exchange Department, Central Office, Reserve Bank of India with their applications along with the supporting documents with regard to their eligibility and requisite documents as specified in </w:t>
      </w:r>
      <w:hyperlink r:id="rId24" w:anchor="AN2" w:history="1">
        <w:r>
          <w:rPr>
            <w:rStyle w:val="Hyperlink"/>
            <w:rFonts w:ascii="Arial" w:hAnsi="Arial" w:cs="Arial"/>
            <w:sz w:val="20"/>
            <w:szCs w:val="20"/>
          </w:rPr>
          <w:t>Annex-II</w:t>
        </w:r>
      </w:hyperlink>
      <w:r>
        <w:rPr>
          <w:rFonts w:ascii="Arial" w:hAnsi="Arial" w:cs="Arial"/>
          <w:color w:val="000000"/>
          <w:sz w:val="20"/>
          <w:szCs w:val="20"/>
        </w:rPr>
        <w:t> for grant of Authorised Dealer Category-I license.</w:t>
      </w:r>
    </w:p>
    <w:p w:rsidR="00C754F7" w:rsidRDefault="00C754F7" w:rsidP="00C754F7">
      <w:pPr>
        <w:pStyle w:val="NormalWeb"/>
        <w:jc w:val="both"/>
        <w:rPr>
          <w:rFonts w:ascii="Arial" w:hAnsi="Arial" w:cs="Arial"/>
          <w:color w:val="000000"/>
          <w:sz w:val="20"/>
          <w:szCs w:val="20"/>
        </w:rPr>
      </w:pPr>
      <w:r>
        <w:rPr>
          <w:rFonts w:ascii="Arial" w:hAnsi="Arial" w:cs="Arial"/>
          <w:color w:val="000000"/>
          <w:sz w:val="20"/>
          <w:szCs w:val="20"/>
        </w:rPr>
        <w:t>4. The other terms and conditions of the Licensing Guidelines remain unchanged.</w:t>
      </w:r>
    </w:p>
    <w:p w:rsidR="00C754F7" w:rsidRDefault="00C754F7" w:rsidP="00C754F7">
      <w:pPr>
        <w:pStyle w:val="NormalWeb"/>
        <w:jc w:val="both"/>
        <w:rPr>
          <w:rFonts w:ascii="Arial" w:hAnsi="Arial" w:cs="Arial"/>
          <w:color w:val="000000"/>
          <w:sz w:val="20"/>
          <w:szCs w:val="20"/>
        </w:rPr>
      </w:pPr>
      <w:r>
        <w:rPr>
          <w:rFonts w:ascii="Arial" w:hAnsi="Arial" w:cs="Arial"/>
          <w:color w:val="000000"/>
          <w:sz w:val="20"/>
          <w:szCs w:val="20"/>
        </w:rPr>
        <w:t>Yours faithfully,</w:t>
      </w:r>
    </w:p>
    <w:p w:rsidR="00C754F7" w:rsidRDefault="00C754F7" w:rsidP="00C754F7">
      <w:pPr>
        <w:pStyle w:val="NormalWeb"/>
        <w:rPr>
          <w:rFonts w:ascii="Arial" w:hAnsi="Arial" w:cs="Arial"/>
          <w:color w:val="000000"/>
          <w:sz w:val="20"/>
          <w:szCs w:val="20"/>
        </w:rPr>
      </w:pPr>
      <w:r>
        <w:rPr>
          <w:rFonts w:ascii="Arial" w:hAnsi="Arial" w:cs="Arial"/>
          <w:color w:val="000000"/>
          <w:sz w:val="20"/>
          <w:szCs w:val="20"/>
        </w:rPr>
        <w:t xml:space="preserve">(Prakash </w:t>
      </w:r>
      <w:proofErr w:type="spellStart"/>
      <w:r>
        <w:rPr>
          <w:rFonts w:ascii="Arial" w:hAnsi="Arial" w:cs="Arial"/>
          <w:color w:val="000000"/>
          <w:sz w:val="20"/>
          <w:szCs w:val="20"/>
        </w:rPr>
        <w:t>Baliarsingh</w:t>
      </w:r>
      <w:proofErr w:type="spellEnd"/>
      <w:r>
        <w:rPr>
          <w:rFonts w:ascii="Arial" w:hAnsi="Arial" w:cs="Arial"/>
          <w:color w:val="000000"/>
          <w:sz w:val="20"/>
          <w:szCs w:val="20"/>
        </w:rPr>
        <w:t>)</w:t>
      </w:r>
      <w:r>
        <w:rPr>
          <w:rFonts w:ascii="Arial" w:hAnsi="Arial" w:cs="Arial"/>
          <w:color w:val="000000"/>
          <w:sz w:val="20"/>
          <w:szCs w:val="20"/>
        </w:rPr>
        <w:br/>
        <w:t>Chief General Manager</w:t>
      </w:r>
    </w:p>
    <w:p w:rsidR="00C754F7" w:rsidRDefault="00C754F7" w:rsidP="00CE14AF"/>
    <w:p w:rsidR="00C754F7" w:rsidRDefault="00C754F7" w:rsidP="00CE14AF"/>
    <w:p w:rsidR="00C754F7" w:rsidRDefault="00C754F7" w:rsidP="00C754F7">
      <w:r>
        <w:t>More details can be referred to in the below link.</w:t>
      </w:r>
    </w:p>
    <w:p w:rsidR="00C754F7" w:rsidRDefault="00C754F7" w:rsidP="00C754F7">
      <w:pPr>
        <w:rPr>
          <w:rFonts w:ascii="Arial" w:hAnsi="Arial" w:cs="Arial"/>
          <w:sz w:val="20"/>
          <w:szCs w:val="20"/>
        </w:rPr>
      </w:pPr>
      <w:r>
        <w:rPr>
          <w:rFonts w:ascii="Arial" w:hAnsi="Arial" w:cs="Arial"/>
          <w:sz w:val="20"/>
          <w:szCs w:val="20"/>
        </w:rPr>
        <w:t xml:space="preserve">Reference Link: </w:t>
      </w:r>
      <w:hyperlink r:id="rId25" w:anchor=":~:text=It%20should%20have%20a%20minimum,in%20the%20preceding%20two%20years" w:history="1">
        <w:r w:rsidRPr="00200311">
          <w:rPr>
            <w:rStyle w:val="Hyperlink"/>
            <w:rFonts w:ascii="Arial" w:hAnsi="Arial" w:cs="Arial"/>
            <w:sz w:val="20"/>
            <w:szCs w:val="20"/>
          </w:rPr>
          <w:t>https://www.rbi.org.in/scripts/NotificationUser.aspx?Id=12373&amp;Mode=0#:~:text=It%20should%20have%20a%20minimum,in%20the%20preceding%20two%20years</w:t>
        </w:r>
      </w:hyperlink>
      <w:r w:rsidRPr="00C754F7">
        <w:rPr>
          <w:rFonts w:ascii="Arial" w:hAnsi="Arial" w:cs="Arial"/>
          <w:sz w:val="20"/>
          <w:szCs w:val="20"/>
        </w:rPr>
        <w:t>.</w:t>
      </w:r>
    </w:p>
    <w:p w:rsidR="00C754F7" w:rsidRDefault="00C754F7" w:rsidP="00C754F7"/>
    <w:p w:rsidR="00C754F7" w:rsidRDefault="00C754F7" w:rsidP="00C754F7"/>
    <w:p w:rsidR="00C754F7" w:rsidRDefault="00C754F7" w:rsidP="00C754F7"/>
    <w:p w:rsidR="00C754F7" w:rsidRDefault="00C754F7" w:rsidP="00C754F7"/>
    <w:p w:rsidR="00C754F7" w:rsidRDefault="00C754F7" w:rsidP="00C754F7"/>
    <w:p w:rsidR="00C754F7" w:rsidRDefault="00C754F7" w:rsidP="00C754F7"/>
    <w:p w:rsidR="00C754F7" w:rsidRDefault="00C754F7" w:rsidP="00C754F7"/>
    <w:p w:rsidR="00C754F7" w:rsidRDefault="005D5DB2" w:rsidP="00C754F7">
      <w:pPr>
        <w:rPr>
          <w:rFonts w:ascii="Arial" w:hAnsi="Arial" w:cs="Arial"/>
          <w:b/>
          <w:bCs/>
          <w:color w:val="000000"/>
          <w:sz w:val="20"/>
          <w:szCs w:val="20"/>
        </w:rPr>
      </w:pPr>
      <w:r>
        <w:rPr>
          <w:rFonts w:ascii="Arial" w:hAnsi="Arial" w:cs="Arial"/>
          <w:b/>
          <w:bCs/>
          <w:color w:val="000000"/>
          <w:sz w:val="20"/>
          <w:szCs w:val="20"/>
        </w:rPr>
        <w:lastRenderedPageBreak/>
        <w:t>Rupee Interest Rate Derivatives (Reserve Bank) Directions – Review</w:t>
      </w:r>
    </w:p>
    <w:p w:rsidR="005D5DB2" w:rsidRDefault="005D5DB2" w:rsidP="005D5DB2">
      <w:pPr>
        <w:pStyle w:val="NormalWeb"/>
        <w:jc w:val="both"/>
        <w:rPr>
          <w:rFonts w:ascii="Arial" w:hAnsi="Arial" w:cs="Arial"/>
          <w:color w:val="000000"/>
          <w:sz w:val="20"/>
          <w:szCs w:val="20"/>
        </w:rPr>
      </w:pPr>
      <w:r>
        <w:rPr>
          <w:rFonts w:ascii="Arial" w:hAnsi="Arial" w:cs="Arial"/>
          <w:color w:val="000000"/>
          <w:sz w:val="20"/>
          <w:szCs w:val="20"/>
        </w:rPr>
        <w:t>RBI/2022-23/105</w:t>
      </w:r>
      <w:r>
        <w:rPr>
          <w:rFonts w:ascii="Arial" w:hAnsi="Arial" w:cs="Arial"/>
          <w:color w:val="000000"/>
          <w:sz w:val="20"/>
          <w:szCs w:val="20"/>
        </w:rPr>
        <w:br/>
        <w:t>FMRD.DIRD.05/14.03.046/2022-23</w:t>
      </w:r>
    </w:p>
    <w:p w:rsidR="005D5DB2" w:rsidRDefault="005D5DB2" w:rsidP="005D5DB2">
      <w:pPr>
        <w:pStyle w:val="NormalWeb"/>
        <w:jc w:val="right"/>
        <w:rPr>
          <w:rFonts w:ascii="Arial" w:hAnsi="Arial" w:cs="Arial"/>
          <w:color w:val="000000"/>
          <w:sz w:val="20"/>
          <w:szCs w:val="20"/>
        </w:rPr>
      </w:pPr>
      <w:r>
        <w:rPr>
          <w:rFonts w:ascii="Arial" w:hAnsi="Arial" w:cs="Arial"/>
          <w:color w:val="000000"/>
          <w:sz w:val="20"/>
          <w:szCs w:val="20"/>
        </w:rPr>
        <w:t>August 08, 2022</w:t>
      </w:r>
    </w:p>
    <w:p w:rsidR="005D5DB2" w:rsidRDefault="005D5DB2" w:rsidP="005D5DB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To,</w:t>
      </w:r>
    </w:p>
    <w:p w:rsidR="005D5DB2" w:rsidRDefault="005D5DB2" w:rsidP="005D5DB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All Eligible Market Participants</w:t>
      </w:r>
    </w:p>
    <w:p w:rsidR="005D5DB2" w:rsidRDefault="005D5DB2" w:rsidP="005D5DB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Madam / Sir,</w:t>
      </w:r>
    </w:p>
    <w:p w:rsidR="005D5DB2" w:rsidRDefault="005D5DB2" w:rsidP="005D5DB2">
      <w:pPr>
        <w:pStyle w:val="head"/>
        <w:jc w:val="center"/>
        <w:rPr>
          <w:rFonts w:ascii="Arial" w:hAnsi="Arial" w:cs="Arial"/>
          <w:b/>
          <w:bCs/>
          <w:color w:val="000000"/>
          <w:sz w:val="20"/>
          <w:szCs w:val="20"/>
        </w:rPr>
      </w:pPr>
      <w:r>
        <w:rPr>
          <w:rFonts w:ascii="Arial" w:hAnsi="Arial" w:cs="Arial"/>
          <w:b/>
          <w:bCs/>
          <w:color w:val="000000"/>
          <w:sz w:val="20"/>
          <w:szCs w:val="20"/>
        </w:rPr>
        <w:t>Rupee Interest Rate Derivatives (Reserve Bank) Directions - Review</w:t>
      </w:r>
    </w:p>
    <w:p w:rsidR="005D5DB2" w:rsidRDefault="005D5DB2" w:rsidP="005D5DB2">
      <w:pPr>
        <w:pStyle w:val="NormalWeb"/>
        <w:jc w:val="both"/>
        <w:rPr>
          <w:rFonts w:ascii="Arial" w:hAnsi="Arial" w:cs="Arial"/>
          <w:color w:val="000000"/>
          <w:sz w:val="20"/>
          <w:szCs w:val="20"/>
        </w:rPr>
      </w:pPr>
      <w:r>
        <w:rPr>
          <w:rFonts w:ascii="Arial" w:hAnsi="Arial" w:cs="Arial"/>
          <w:color w:val="000000"/>
          <w:sz w:val="20"/>
          <w:szCs w:val="20"/>
        </w:rPr>
        <w:t>Please refer to Paragraph 4 of the </w:t>
      </w:r>
      <w:hyperlink r:id="rId26" w:tgtFrame="_blank" w:history="1">
        <w:r>
          <w:rPr>
            <w:rStyle w:val="Hyperlink"/>
            <w:rFonts w:ascii="Arial" w:hAnsi="Arial" w:cs="Arial"/>
            <w:sz w:val="20"/>
            <w:szCs w:val="20"/>
          </w:rPr>
          <w:t>Statement on Developmental and Regulatory Policies</w:t>
        </w:r>
      </w:hyperlink>
      <w:r>
        <w:rPr>
          <w:rFonts w:ascii="Arial" w:hAnsi="Arial" w:cs="Arial"/>
          <w:color w:val="000000"/>
          <w:sz w:val="20"/>
          <w:szCs w:val="20"/>
        </w:rPr>
        <w:t>, issued as a part of the </w:t>
      </w:r>
      <w:hyperlink r:id="rId27" w:tgtFrame="_blank" w:history="1">
        <w:r>
          <w:rPr>
            <w:rStyle w:val="Hyperlink"/>
            <w:rFonts w:ascii="Arial" w:hAnsi="Arial" w:cs="Arial"/>
            <w:sz w:val="20"/>
            <w:szCs w:val="20"/>
          </w:rPr>
          <w:t>Bi-monthly Monetary Policy Statement for 2022-23 dated August 05, 2022</w:t>
        </w:r>
      </w:hyperlink>
      <w:r>
        <w:rPr>
          <w:rFonts w:ascii="Arial" w:hAnsi="Arial" w:cs="Arial"/>
          <w:color w:val="000000"/>
          <w:sz w:val="20"/>
          <w:szCs w:val="20"/>
        </w:rPr>
        <w:t> regarding permitting stand-alone primary dealers (SPDs) in India to deal in Foreign Currency Settled Overnight Indexed Swaps (FCS-OIS). Attention is also invited to the </w:t>
      </w:r>
      <w:hyperlink r:id="rId28" w:tgtFrame="_blank" w:history="1">
        <w:r>
          <w:rPr>
            <w:rStyle w:val="Hyperlink"/>
            <w:rFonts w:ascii="Arial" w:hAnsi="Arial" w:cs="Arial"/>
            <w:sz w:val="20"/>
            <w:szCs w:val="20"/>
          </w:rPr>
          <w:t>Rupee Interest Rate Derivatives (Reserve Bank) Directions, 2019 dated June 26, 2019</w:t>
        </w:r>
      </w:hyperlink>
      <w:r>
        <w:rPr>
          <w:rFonts w:ascii="Arial" w:hAnsi="Arial" w:cs="Arial"/>
          <w:color w:val="000000"/>
          <w:sz w:val="20"/>
          <w:szCs w:val="20"/>
        </w:rPr>
        <w:t>, as amended from time to time (hereinafter, Directions).</w:t>
      </w:r>
    </w:p>
    <w:p w:rsidR="005D5DB2" w:rsidRDefault="005D5DB2" w:rsidP="005D5DB2">
      <w:pPr>
        <w:pStyle w:val="NormalWeb"/>
        <w:jc w:val="both"/>
        <w:rPr>
          <w:rFonts w:ascii="Arial" w:hAnsi="Arial" w:cs="Arial"/>
          <w:color w:val="000000"/>
          <w:sz w:val="20"/>
          <w:szCs w:val="20"/>
        </w:rPr>
      </w:pPr>
      <w:r>
        <w:rPr>
          <w:rFonts w:ascii="Arial" w:hAnsi="Arial" w:cs="Arial"/>
          <w:color w:val="000000"/>
          <w:sz w:val="20"/>
          <w:szCs w:val="20"/>
        </w:rPr>
        <w:t>2. Banks in India having Authorised Dealer Category-I (AD Cat-I) license under FEMA, 1999 have been permitted under the above Directions to offer FCS-OIS to persons not resident in India as well as to other AD Cat-I banks vide </w:t>
      </w:r>
      <w:hyperlink r:id="rId29" w:tgtFrame="_blank" w:history="1">
        <w:r>
          <w:rPr>
            <w:rStyle w:val="Hyperlink"/>
            <w:rFonts w:ascii="Arial" w:hAnsi="Arial" w:cs="Arial"/>
            <w:sz w:val="20"/>
            <w:szCs w:val="20"/>
          </w:rPr>
          <w:t>circular FMRD.DIRD.12/14.03.046/2021-22 dated February 10, 2022</w:t>
        </w:r>
      </w:hyperlink>
      <w:r>
        <w:rPr>
          <w:rFonts w:ascii="Arial" w:hAnsi="Arial" w:cs="Arial"/>
          <w:color w:val="000000"/>
          <w:sz w:val="20"/>
          <w:szCs w:val="20"/>
        </w:rPr>
        <w:t>. On a review, it has been decided that SPDs, authorized under section 10(1) of FEMA, 1999 shall also be eligible to offer FCS-OIS to persons not resident in India as well as to other AD Cat-I banks and eligible SPDs.</w:t>
      </w:r>
    </w:p>
    <w:p w:rsidR="005D5DB2" w:rsidRDefault="005D5DB2" w:rsidP="005D5DB2">
      <w:pPr>
        <w:pStyle w:val="NormalWeb"/>
        <w:jc w:val="both"/>
        <w:rPr>
          <w:rFonts w:ascii="Arial" w:hAnsi="Arial" w:cs="Arial"/>
          <w:color w:val="000000"/>
          <w:sz w:val="20"/>
          <w:szCs w:val="20"/>
        </w:rPr>
      </w:pPr>
      <w:r>
        <w:rPr>
          <w:rFonts w:ascii="Arial" w:hAnsi="Arial" w:cs="Arial"/>
          <w:color w:val="000000"/>
          <w:sz w:val="20"/>
          <w:szCs w:val="20"/>
        </w:rPr>
        <w:t>3. The instructions shall be applicable with immediate effect. The </w:t>
      </w:r>
      <w:hyperlink r:id="rId30" w:tgtFrame="_blank" w:history="1">
        <w:r>
          <w:rPr>
            <w:rStyle w:val="Hyperlink"/>
            <w:rFonts w:ascii="Arial" w:hAnsi="Arial" w:cs="Arial"/>
            <w:sz w:val="20"/>
            <w:szCs w:val="20"/>
          </w:rPr>
          <w:t>updated Directions</w:t>
        </w:r>
      </w:hyperlink>
      <w:r>
        <w:rPr>
          <w:rFonts w:ascii="Arial" w:hAnsi="Arial" w:cs="Arial"/>
          <w:color w:val="000000"/>
          <w:sz w:val="20"/>
          <w:szCs w:val="20"/>
        </w:rPr>
        <w:t> are attached.</w:t>
      </w:r>
    </w:p>
    <w:p w:rsidR="005D5DB2" w:rsidRDefault="005D5DB2" w:rsidP="005D5DB2">
      <w:pPr>
        <w:pStyle w:val="NormalWeb"/>
        <w:rPr>
          <w:rFonts w:ascii="Arial" w:hAnsi="Arial" w:cs="Arial"/>
          <w:color w:val="000000"/>
          <w:sz w:val="20"/>
          <w:szCs w:val="20"/>
        </w:rPr>
      </w:pPr>
      <w:r>
        <w:rPr>
          <w:rFonts w:ascii="Arial" w:hAnsi="Arial" w:cs="Arial"/>
          <w:color w:val="000000"/>
          <w:sz w:val="20"/>
          <w:szCs w:val="20"/>
        </w:rPr>
        <w:t>4. The instructions contained in this circular have been issued in exercise of the powers conferred under section 45W of the Reserve Bank of India Act, 1934 read with section 45U of the Act and of all the powers enabling it in this behalf.</w:t>
      </w:r>
    </w:p>
    <w:p w:rsidR="005D5DB2" w:rsidRDefault="005D5DB2" w:rsidP="005D5DB2">
      <w:pPr>
        <w:pStyle w:val="NormalWeb"/>
        <w:rPr>
          <w:rFonts w:ascii="Arial" w:hAnsi="Arial" w:cs="Arial"/>
          <w:color w:val="000000"/>
          <w:sz w:val="20"/>
          <w:szCs w:val="20"/>
        </w:rPr>
      </w:pPr>
      <w:r>
        <w:rPr>
          <w:rFonts w:ascii="Arial" w:hAnsi="Arial" w:cs="Arial"/>
          <w:color w:val="000000"/>
          <w:sz w:val="20"/>
          <w:szCs w:val="20"/>
        </w:rPr>
        <w:t>Yours faithfully,</w:t>
      </w:r>
    </w:p>
    <w:p w:rsidR="005D5DB2" w:rsidRDefault="005D5DB2" w:rsidP="005D5DB2">
      <w:pPr>
        <w:pStyle w:val="NormalWeb"/>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5D5DB2" w:rsidRDefault="005D5DB2" w:rsidP="00C754F7"/>
    <w:p w:rsidR="005D5DB2" w:rsidRDefault="005D5DB2" w:rsidP="00C754F7"/>
    <w:p w:rsidR="005D5DB2" w:rsidRDefault="005D5DB2" w:rsidP="00C754F7"/>
    <w:p w:rsidR="005D5DB2" w:rsidRDefault="005D5DB2" w:rsidP="00C754F7"/>
    <w:p w:rsidR="005D5DB2" w:rsidRDefault="005D5DB2" w:rsidP="005D5DB2">
      <w:r>
        <w:t>More details can be referred to in the below link.</w:t>
      </w:r>
    </w:p>
    <w:p w:rsidR="005D5DB2" w:rsidRDefault="005D5DB2" w:rsidP="005D5DB2">
      <w:pPr>
        <w:rPr>
          <w:rFonts w:ascii="Arial" w:hAnsi="Arial" w:cs="Arial"/>
          <w:sz w:val="20"/>
          <w:szCs w:val="20"/>
        </w:rPr>
      </w:pPr>
      <w:r>
        <w:rPr>
          <w:rFonts w:ascii="Arial" w:hAnsi="Arial" w:cs="Arial"/>
          <w:sz w:val="20"/>
          <w:szCs w:val="20"/>
        </w:rPr>
        <w:t xml:space="preserve">Reference Link: </w:t>
      </w:r>
      <w:hyperlink r:id="rId31" w:history="1">
        <w:r w:rsidRPr="00200311">
          <w:rPr>
            <w:rStyle w:val="Hyperlink"/>
            <w:rFonts w:ascii="Arial" w:hAnsi="Arial" w:cs="Arial"/>
            <w:sz w:val="20"/>
            <w:szCs w:val="20"/>
          </w:rPr>
          <w:t>https://m.rbi.org.in/scripts/FS_Notification.aspx?Id=12374&amp;fn=6&amp;Mode=0</w:t>
        </w:r>
      </w:hyperlink>
    </w:p>
    <w:p w:rsidR="005D5DB2" w:rsidRDefault="005D5DB2" w:rsidP="005D5DB2">
      <w:pPr>
        <w:rPr>
          <w:rFonts w:ascii="Arial" w:hAnsi="Arial" w:cs="Arial"/>
          <w:sz w:val="20"/>
          <w:szCs w:val="20"/>
        </w:rPr>
      </w:pPr>
    </w:p>
    <w:p w:rsidR="005D5DB2" w:rsidRDefault="005D5DB2" w:rsidP="005D5DB2">
      <w:pPr>
        <w:rPr>
          <w:rFonts w:ascii="Arial" w:hAnsi="Arial" w:cs="Arial"/>
          <w:sz w:val="20"/>
          <w:szCs w:val="20"/>
        </w:rPr>
      </w:pPr>
    </w:p>
    <w:p w:rsidR="005D5DB2" w:rsidRDefault="005D5DB2" w:rsidP="005D5DB2">
      <w:pPr>
        <w:rPr>
          <w:rFonts w:ascii="Arial" w:hAnsi="Arial" w:cs="Arial"/>
          <w:sz w:val="20"/>
          <w:szCs w:val="20"/>
        </w:rPr>
      </w:pPr>
    </w:p>
    <w:p w:rsidR="005D5DB2" w:rsidRDefault="005D5DB2" w:rsidP="005D5DB2">
      <w:pPr>
        <w:rPr>
          <w:rFonts w:ascii="Arial" w:hAnsi="Arial" w:cs="Arial"/>
          <w:sz w:val="20"/>
          <w:szCs w:val="20"/>
        </w:rPr>
      </w:pPr>
    </w:p>
    <w:p w:rsidR="005D5DB2" w:rsidRDefault="005D5DB2" w:rsidP="005D5DB2">
      <w:pPr>
        <w:rPr>
          <w:rFonts w:ascii="Arial" w:hAnsi="Arial" w:cs="Arial"/>
          <w:sz w:val="20"/>
          <w:szCs w:val="20"/>
        </w:rPr>
      </w:pPr>
    </w:p>
    <w:p w:rsidR="005D5DB2" w:rsidRDefault="005D5DB2" w:rsidP="005D5DB2">
      <w:pPr>
        <w:rPr>
          <w:rFonts w:ascii="Arial" w:hAnsi="Arial" w:cs="Arial"/>
          <w:b/>
          <w:bCs/>
          <w:color w:val="000000"/>
          <w:sz w:val="20"/>
          <w:szCs w:val="20"/>
        </w:rPr>
      </w:pPr>
      <w:r>
        <w:rPr>
          <w:rFonts w:ascii="Arial" w:hAnsi="Arial" w:cs="Arial"/>
          <w:b/>
          <w:bCs/>
          <w:color w:val="000000"/>
          <w:sz w:val="20"/>
          <w:szCs w:val="20"/>
        </w:rPr>
        <w:lastRenderedPageBreak/>
        <w:t>Foreign Exchange Management (Overseas Investment) Regulations, 2022</w:t>
      </w:r>
    </w:p>
    <w:p w:rsidR="005D5DB2" w:rsidRDefault="005D5DB2" w:rsidP="005D5DB2">
      <w:pPr>
        <w:pStyle w:val="head"/>
        <w:jc w:val="both"/>
        <w:rPr>
          <w:rFonts w:ascii="Arial" w:hAnsi="Arial" w:cs="Arial"/>
          <w:b/>
          <w:bCs/>
          <w:color w:val="000000"/>
          <w:sz w:val="20"/>
          <w:szCs w:val="20"/>
        </w:rPr>
      </w:pPr>
      <w:r>
        <w:rPr>
          <w:rFonts w:ascii="Arial" w:hAnsi="Arial" w:cs="Arial"/>
          <w:b/>
          <w:bCs/>
          <w:color w:val="000000"/>
          <w:sz w:val="20"/>
          <w:szCs w:val="20"/>
        </w:rPr>
        <w:t>No. FEMA 400/2022-RB</w:t>
      </w:r>
    </w:p>
    <w:p w:rsidR="005D5DB2" w:rsidRDefault="005D5DB2" w:rsidP="005D5DB2">
      <w:pPr>
        <w:pStyle w:val="head"/>
        <w:jc w:val="right"/>
        <w:rPr>
          <w:rFonts w:ascii="Arial" w:hAnsi="Arial" w:cs="Arial"/>
          <w:b/>
          <w:bCs/>
          <w:color w:val="000000"/>
          <w:sz w:val="20"/>
          <w:szCs w:val="20"/>
        </w:rPr>
      </w:pPr>
      <w:r>
        <w:rPr>
          <w:rFonts w:ascii="Arial" w:hAnsi="Arial" w:cs="Arial"/>
          <w:b/>
          <w:bCs/>
          <w:color w:val="000000"/>
          <w:sz w:val="20"/>
          <w:szCs w:val="20"/>
        </w:rPr>
        <w:t>August 22, 2022</w:t>
      </w:r>
    </w:p>
    <w:p w:rsidR="005D5DB2" w:rsidRDefault="005D5DB2" w:rsidP="005D5DB2">
      <w:pPr>
        <w:pStyle w:val="head"/>
        <w:jc w:val="center"/>
        <w:rPr>
          <w:rFonts w:ascii="Arial" w:hAnsi="Arial" w:cs="Arial"/>
          <w:b/>
          <w:bCs/>
          <w:color w:val="000000"/>
          <w:sz w:val="20"/>
          <w:szCs w:val="20"/>
        </w:rPr>
      </w:pPr>
      <w:r>
        <w:rPr>
          <w:rFonts w:ascii="Arial" w:hAnsi="Arial" w:cs="Arial"/>
          <w:b/>
          <w:bCs/>
          <w:color w:val="000000"/>
          <w:sz w:val="20"/>
          <w:szCs w:val="20"/>
        </w:rPr>
        <w:t>Foreign Exchange Management (Overseas Investment) Regulations, 2022</w:t>
      </w:r>
    </w:p>
    <w:p w:rsidR="005D5DB2" w:rsidRDefault="005D5DB2" w:rsidP="005D5DB2">
      <w:pPr>
        <w:pStyle w:val="NormalWeb"/>
        <w:jc w:val="both"/>
        <w:rPr>
          <w:rFonts w:ascii="Arial" w:hAnsi="Arial" w:cs="Arial"/>
          <w:color w:val="000000"/>
          <w:sz w:val="20"/>
          <w:szCs w:val="20"/>
        </w:rPr>
      </w:pPr>
      <w:r>
        <w:rPr>
          <w:rFonts w:ascii="Arial" w:hAnsi="Arial" w:cs="Arial"/>
          <w:color w:val="000000"/>
          <w:sz w:val="20"/>
          <w:szCs w:val="20"/>
        </w:rPr>
        <w:t xml:space="preserve">In exercise of the powers conferred by sub-section (1) and clause (a) of sub-section (2) of section 47 of the Foreign Exchange Management Act, 1999 (42 of 1999), the Reserve Bank hereby makes the following regulations, </w:t>
      </w:r>
      <w:proofErr w:type="gramStart"/>
      <w:r>
        <w:rPr>
          <w:rFonts w:ascii="Arial" w:hAnsi="Arial" w:cs="Arial"/>
          <w:color w:val="000000"/>
          <w:sz w:val="20"/>
          <w:szCs w:val="20"/>
        </w:rPr>
        <w:t>namely:–</w:t>
      </w:r>
      <w:proofErr w:type="gramEnd"/>
    </w:p>
    <w:p w:rsidR="005D5DB2" w:rsidRDefault="005D5DB2" w:rsidP="005D5DB2">
      <w:pPr>
        <w:pStyle w:val="NormalWeb"/>
        <w:jc w:val="both"/>
        <w:rPr>
          <w:rFonts w:ascii="Arial" w:hAnsi="Arial" w:cs="Arial"/>
          <w:color w:val="000000"/>
          <w:sz w:val="20"/>
          <w:szCs w:val="20"/>
        </w:rPr>
      </w:pPr>
      <w:r>
        <w:rPr>
          <w:rStyle w:val="head1"/>
          <w:rFonts w:ascii="Arial" w:hAnsi="Arial" w:cs="Arial"/>
          <w:b/>
          <w:bCs/>
          <w:color w:val="000000"/>
          <w:sz w:val="20"/>
          <w:szCs w:val="20"/>
        </w:rPr>
        <w:t xml:space="preserve">1. Short title and </w:t>
      </w:r>
      <w:proofErr w:type="gramStart"/>
      <w:r>
        <w:rPr>
          <w:rStyle w:val="head1"/>
          <w:rFonts w:ascii="Arial" w:hAnsi="Arial" w:cs="Arial"/>
          <w:b/>
          <w:bCs/>
          <w:color w:val="000000"/>
          <w:sz w:val="20"/>
          <w:szCs w:val="20"/>
        </w:rPr>
        <w:t>commencement.–</w:t>
      </w:r>
      <w:proofErr w:type="gramEnd"/>
      <w:r>
        <w:rPr>
          <w:rFonts w:ascii="Arial" w:hAnsi="Arial" w:cs="Arial"/>
          <w:color w:val="000000"/>
          <w:sz w:val="20"/>
          <w:szCs w:val="20"/>
        </w:rPr>
        <w:t> (1) These regulations may be called the Foreign Exchange Management (Overseas Investment) Regulations, 2022.</w:t>
      </w:r>
    </w:p>
    <w:p w:rsidR="005D5DB2" w:rsidRDefault="005D5DB2" w:rsidP="005D5DB2">
      <w:pPr>
        <w:pStyle w:val="NormalWeb"/>
        <w:jc w:val="both"/>
        <w:rPr>
          <w:rFonts w:ascii="Arial" w:hAnsi="Arial" w:cs="Arial"/>
          <w:color w:val="000000"/>
          <w:sz w:val="20"/>
          <w:szCs w:val="20"/>
        </w:rPr>
      </w:pPr>
      <w:r>
        <w:rPr>
          <w:rFonts w:ascii="Arial" w:hAnsi="Arial" w:cs="Arial"/>
          <w:color w:val="000000"/>
          <w:sz w:val="20"/>
          <w:szCs w:val="20"/>
        </w:rPr>
        <w:t>(2) They shall come into force on the date of their publication in the </w:t>
      </w:r>
      <w:hyperlink r:id="rId32" w:tgtFrame="_blank" w:history="1">
        <w:r>
          <w:rPr>
            <w:rStyle w:val="Hyperlink"/>
            <w:rFonts w:ascii="Arial" w:hAnsi="Arial" w:cs="Arial"/>
            <w:sz w:val="20"/>
            <w:szCs w:val="20"/>
          </w:rPr>
          <w:t>Official Gazette</w:t>
        </w:r>
      </w:hyperlink>
      <w:r>
        <w:rPr>
          <w:rFonts w:ascii="Arial" w:hAnsi="Arial" w:cs="Arial"/>
          <w:color w:val="000000"/>
          <w:sz w:val="20"/>
          <w:szCs w:val="20"/>
        </w:rPr>
        <w:t>.</w:t>
      </w:r>
    </w:p>
    <w:p w:rsidR="005D5DB2" w:rsidRDefault="005D5DB2" w:rsidP="005D5DB2">
      <w:pPr>
        <w:pStyle w:val="NormalWeb"/>
        <w:jc w:val="both"/>
        <w:rPr>
          <w:rFonts w:ascii="Arial" w:hAnsi="Arial" w:cs="Arial"/>
          <w:color w:val="000000"/>
          <w:sz w:val="20"/>
          <w:szCs w:val="20"/>
        </w:rPr>
      </w:pPr>
      <w:r>
        <w:rPr>
          <w:rStyle w:val="head1"/>
          <w:rFonts w:ascii="Arial" w:hAnsi="Arial" w:cs="Arial"/>
          <w:b/>
          <w:bCs/>
          <w:color w:val="000000"/>
          <w:sz w:val="20"/>
          <w:szCs w:val="20"/>
        </w:rPr>
        <w:t xml:space="preserve">2. </w:t>
      </w:r>
      <w:proofErr w:type="gramStart"/>
      <w:r>
        <w:rPr>
          <w:rStyle w:val="head1"/>
          <w:rFonts w:ascii="Arial" w:hAnsi="Arial" w:cs="Arial"/>
          <w:b/>
          <w:bCs/>
          <w:color w:val="000000"/>
          <w:sz w:val="20"/>
          <w:szCs w:val="20"/>
        </w:rPr>
        <w:t>Definitions.–</w:t>
      </w:r>
      <w:proofErr w:type="gramEnd"/>
      <w:r>
        <w:rPr>
          <w:rFonts w:ascii="Arial" w:hAnsi="Arial" w:cs="Arial"/>
          <w:color w:val="000000"/>
          <w:sz w:val="20"/>
          <w:szCs w:val="20"/>
        </w:rPr>
        <w:t> (1) In these regulations, unless the context otherwise requires,–</w:t>
      </w:r>
    </w:p>
    <w:p w:rsidR="005D5DB2" w:rsidRDefault="005D5DB2" w:rsidP="005D5DB2">
      <w:pPr>
        <w:pStyle w:val="NormalWeb"/>
        <w:jc w:val="both"/>
        <w:rPr>
          <w:rFonts w:ascii="Arial" w:hAnsi="Arial" w:cs="Arial"/>
          <w:color w:val="000000"/>
          <w:sz w:val="20"/>
          <w:szCs w:val="20"/>
        </w:rPr>
      </w:pPr>
      <w:r>
        <w:rPr>
          <w:rFonts w:ascii="Arial" w:hAnsi="Arial" w:cs="Arial"/>
          <w:color w:val="000000"/>
          <w:sz w:val="20"/>
          <w:szCs w:val="20"/>
        </w:rPr>
        <w:t>(a) “Act” means the Foreign Exchange Management Act, 1999 (42 of 1999);</w:t>
      </w:r>
    </w:p>
    <w:p w:rsidR="005D5DB2" w:rsidRDefault="005D5DB2" w:rsidP="005D5DB2">
      <w:pPr>
        <w:pStyle w:val="NormalWeb"/>
        <w:jc w:val="both"/>
        <w:rPr>
          <w:rFonts w:ascii="Arial" w:hAnsi="Arial" w:cs="Arial"/>
          <w:color w:val="000000"/>
          <w:sz w:val="20"/>
          <w:szCs w:val="20"/>
        </w:rPr>
      </w:pPr>
      <w:r>
        <w:rPr>
          <w:rFonts w:ascii="Arial" w:hAnsi="Arial" w:cs="Arial"/>
          <w:color w:val="000000"/>
          <w:sz w:val="20"/>
          <w:szCs w:val="20"/>
        </w:rPr>
        <w:t>(b) “debt instruments” shall have the same meaning as assigned to it in the </w:t>
      </w:r>
      <w:hyperlink r:id="rId33" w:tgtFrame="_blank" w:history="1">
        <w:r>
          <w:rPr>
            <w:rStyle w:val="Hyperlink"/>
            <w:rFonts w:ascii="Arial" w:hAnsi="Arial" w:cs="Arial"/>
            <w:sz w:val="20"/>
            <w:szCs w:val="20"/>
          </w:rPr>
          <w:t>Foreign Exchange Management (Overseas Investment) Rules, 2022</w:t>
        </w:r>
      </w:hyperlink>
      <w:r>
        <w:rPr>
          <w:rFonts w:ascii="Arial" w:hAnsi="Arial" w:cs="Arial"/>
          <w:color w:val="000000"/>
          <w:sz w:val="20"/>
          <w:szCs w:val="20"/>
        </w:rPr>
        <w:t>;</w:t>
      </w:r>
    </w:p>
    <w:p w:rsidR="005D5DB2" w:rsidRDefault="005D5DB2" w:rsidP="005D5DB2">
      <w:pPr>
        <w:pStyle w:val="NormalWeb"/>
        <w:jc w:val="both"/>
        <w:rPr>
          <w:rFonts w:ascii="Arial" w:hAnsi="Arial" w:cs="Arial"/>
          <w:color w:val="000000"/>
          <w:sz w:val="20"/>
          <w:szCs w:val="20"/>
        </w:rPr>
      </w:pPr>
      <w:r>
        <w:rPr>
          <w:rFonts w:ascii="Arial" w:hAnsi="Arial" w:cs="Arial"/>
          <w:color w:val="000000"/>
          <w:sz w:val="20"/>
          <w:szCs w:val="20"/>
        </w:rPr>
        <w:t>(2) The words and expressions used but not defined in these regulations shall have the meanings respectively assigned to them in the Act or the </w:t>
      </w:r>
      <w:hyperlink r:id="rId34" w:tgtFrame="_blank" w:history="1">
        <w:r>
          <w:rPr>
            <w:rStyle w:val="Hyperlink"/>
            <w:rFonts w:ascii="Arial" w:hAnsi="Arial" w:cs="Arial"/>
            <w:sz w:val="20"/>
            <w:szCs w:val="20"/>
          </w:rPr>
          <w:t>Foreign Exchange Management (Overseas Investment) Rules, 2022</w:t>
        </w:r>
      </w:hyperlink>
      <w:r>
        <w:rPr>
          <w:rFonts w:ascii="Arial" w:hAnsi="Arial" w:cs="Arial"/>
          <w:color w:val="000000"/>
          <w:sz w:val="20"/>
          <w:szCs w:val="20"/>
        </w:rPr>
        <w:t>.</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3. Financial commitment by Indian entity by modes other than equity capital</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4. Financial commitment by Indian entity by way of debt</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5. Financial commitment by way of guarantee</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6. Financial commitment by way of pledge or charge</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7. Acquisition or transfer by way of deferred payment</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8. Mode of payment</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9. Obligations of person resident in India</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10. Reporting requirements for Overseas Investment</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11. Delay in reporting</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12. Restriction on further financial commitment or transfer</w:t>
      </w:r>
    </w:p>
    <w:p w:rsidR="005D5DB2" w:rsidRDefault="005D5DB2" w:rsidP="005D5DB2">
      <w:pPr>
        <w:pStyle w:val="NormalWeb"/>
        <w:rPr>
          <w:rFonts w:ascii="Arial" w:hAnsi="Arial" w:cs="Arial"/>
          <w:color w:val="000000"/>
          <w:sz w:val="20"/>
          <w:szCs w:val="20"/>
        </w:rPr>
      </w:pPr>
    </w:p>
    <w:p w:rsidR="005D5DB2" w:rsidRDefault="005D5DB2" w:rsidP="005D5DB2">
      <w:pPr>
        <w:pStyle w:val="NormalWeb"/>
        <w:rPr>
          <w:rFonts w:ascii="Arial" w:hAnsi="Arial" w:cs="Arial"/>
          <w:color w:val="000000"/>
          <w:sz w:val="20"/>
          <w:szCs w:val="20"/>
        </w:rPr>
      </w:pPr>
      <w:r>
        <w:rPr>
          <w:rFonts w:ascii="Arial" w:hAnsi="Arial" w:cs="Arial"/>
          <w:color w:val="000000"/>
          <w:sz w:val="20"/>
          <w:szCs w:val="20"/>
        </w:rPr>
        <w:t xml:space="preserve">(Ajay Kumar </w:t>
      </w:r>
      <w:proofErr w:type="spellStart"/>
      <w:r>
        <w:rPr>
          <w:rFonts w:ascii="Arial" w:hAnsi="Arial" w:cs="Arial"/>
          <w:color w:val="000000"/>
          <w:sz w:val="20"/>
          <w:szCs w:val="20"/>
        </w:rPr>
        <w:t>Misra</w:t>
      </w:r>
      <w:proofErr w:type="spellEnd"/>
      <w:r>
        <w:rPr>
          <w:rFonts w:ascii="Arial" w:hAnsi="Arial" w:cs="Arial"/>
          <w:color w:val="000000"/>
          <w:sz w:val="20"/>
          <w:szCs w:val="20"/>
        </w:rPr>
        <w:t>)</w:t>
      </w:r>
      <w:r>
        <w:rPr>
          <w:rFonts w:ascii="Arial" w:hAnsi="Arial" w:cs="Arial"/>
          <w:color w:val="000000"/>
          <w:sz w:val="20"/>
          <w:szCs w:val="20"/>
        </w:rPr>
        <w:br/>
        <w:t>Chief General Manager-in-Charge</w:t>
      </w:r>
    </w:p>
    <w:p w:rsidR="005D5DB2" w:rsidRDefault="005D5DB2" w:rsidP="005D5DB2"/>
    <w:p w:rsidR="005D5DB2" w:rsidRDefault="005D5DB2" w:rsidP="005D5DB2"/>
    <w:p w:rsidR="005D5DB2" w:rsidRDefault="005D5DB2" w:rsidP="005D5DB2"/>
    <w:p w:rsidR="005D5DB2" w:rsidRDefault="005D5DB2" w:rsidP="005D5DB2">
      <w:r>
        <w:t>More details can be referred to in the below link.</w:t>
      </w:r>
    </w:p>
    <w:p w:rsidR="005D5DB2" w:rsidRDefault="005D5DB2" w:rsidP="005D5DB2">
      <w:pPr>
        <w:rPr>
          <w:rFonts w:ascii="Arial" w:hAnsi="Arial" w:cs="Arial"/>
          <w:sz w:val="20"/>
          <w:szCs w:val="20"/>
        </w:rPr>
      </w:pPr>
      <w:r>
        <w:rPr>
          <w:rFonts w:ascii="Arial" w:hAnsi="Arial" w:cs="Arial"/>
          <w:sz w:val="20"/>
          <w:szCs w:val="20"/>
        </w:rPr>
        <w:t xml:space="preserve">Reference Link: </w:t>
      </w:r>
      <w:hyperlink r:id="rId35" w:history="1">
        <w:r w:rsidRPr="00200311">
          <w:rPr>
            <w:rStyle w:val="Hyperlink"/>
            <w:rFonts w:ascii="Arial" w:hAnsi="Arial" w:cs="Arial"/>
            <w:sz w:val="20"/>
            <w:szCs w:val="20"/>
          </w:rPr>
          <w:t>https://www.rbi.org.in/scripts/NotificationUser.aspx?Id=12380&amp;Mode=0</w:t>
        </w:r>
      </w:hyperlink>
    </w:p>
    <w:p w:rsidR="005D5DB2" w:rsidRDefault="005D5DB2" w:rsidP="005D5DB2"/>
    <w:p w:rsidR="00435B25" w:rsidRDefault="00435B25" w:rsidP="005D5DB2"/>
    <w:p w:rsidR="0045114B" w:rsidRPr="00435B25" w:rsidRDefault="0045114B" w:rsidP="005D5DB2">
      <w:pPr>
        <w:rPr>
          <w:rFonts w:ascii="Arial" w:hAnsi="Arial" w:cs="Arial"/>
          <w:b/>
          <w:bCs/>
          <w:color w:val="000000"/>
          <w:sz w:val="20"/>
          <w:szCs w:val="20"/>
        </w:rPr>
      </w:pPr>
      <w:r w:rsidRPr="00435B25">
        <w:rPr>
          <w:rFonts w:ascii="Arial" w:hAnsi="Arial" w:cs="Arial"/>
          <w:b/>
          <w:bCs/>
          <w:color w:val="000000"/>
          <w:sz w:val="20"/>
          <w:szCs w:val="20"/>
        </w:rPr>
        <w:lastRenderedPageBreak/>
        <w:t>Foreign Exchange Management (Overseas Investment) Directions, 2022</w:t>
      </w:r>
    </w:p>
    <w:p w:rsidR="0045114B" w:rsidRPr="00435B25" w:rsidRDefault="0045114B" w:rsidP="0045114B">
      <w:pPr>
        <w:pStyle w:val="NormalWeb"/>
        <w:jc w:val="both"/>
        <w:rPr>
          <w:rFonts w:ascii="Arial" w:hAnsi="Arial" w:cs="Arial"/>
          <w:color w:val="000000"/>
          <w:sz w:val="20"/>
          <w:szCs w:val="20"/>
        </w:rPr>
      </w:pPr>
      <w:r w:rsidRPr="00435B25">
        <w:rPr>
          <w:rFonts w:ascii="Arial" w:hAnsi="Arial" w:cs="Arial"/>
          <w:color w:val="000000"/>
          <w:sz w:val="20"/>
          <w:szCs w:val="20"/>
        </w:rPr>
        <w:t>RBI/2022-2023/110</w:t>
      </w:r>
      <w:r w:rsidRPr="00435B25">
        <w:rPr>
          <w:rFonts w:ascii="Arial" w:hAnsi="Arial" w:cs="Arial"/>
          <w:color w:val="000000"/>
          <w:sz w:val="20"/>
          <w:szCs w:val="20"/>
        </w:rPr>
        <w:br/>
        <w:t>A.P. (DIR Series) Circular No.12</w:t>
      </w:r>
    </w:p>
    <w:p w:rsidR="0045114B" w:rsidRPr="00435B25" w:rsidRDefault="0045114B" w:rsidP="0045114B">
      <w:pPr>
        <w:pStyle w:val="NormalWeb"/>
        <w:jc w:val="right"/>
        <w:rPr>
          <w:rFonts w:ascii="Arial" w:hAnsi="Arial" w:cs="Arial"/>
          <w:color w:val="000000"/>
          <w:sz w:val="20"/>
          <w:szCs w:val="20"/>
        </w:rPr>
      </w:pPr>
      <w:r w:rsidRPr="00435B25">
        <w:rPr>
          <w:rFonts w:ascii="Arial" w:hAnsi="Arial" w:cs="Arial"/>
          <w:color w:val="000000"/>
          <w:sz w:val="20"/>
          <w:szCs w:val="20"/>
        </w:rPr>
        <w:t>August 22, 2022</w:t>
      </w:r>
    </w:p>
    <w:p w:rsidR="0045114B" w:rsidRPr="00435B25" w:rsidRDefault="0045114B" w:rsidP="0045114B">
      <w:pPr>
        <w:pStyle w:val="NormalWeb"/>
        <w:spacing w:before="0" w:beforeAutospacing="0" w:after="0" w:afterAutospacing="0"/>
        <w:jc w:val="both"/>
        <w:rPr>
          <w:rFonts w:ascii="Arial" w:hAnsi="Arial" w:cs="Arial"/>
          <w:color w:val="000000"/>
          <w:sz w:val="20"/>
          <w:szCs w:val="20"/>
        </w:rPr>
      </w:pPr>
      <w:r w:rsidRPr="00435B25">
        <w:rPr>
          <w:rFonts w:ascii="Arial" w:hAnsi="Arial" w:cs="Arial"/>
          <w:color w:val="000000"/>
          <w:sz w:val="20"/>
          <w:szCs w:val="20"/>
        </w:rPr>
        <w:t>All Category – I Authorised Dealer Banks</w:t>
      </w:r>
    </w:p>
    <w:p w:rsidR="0045114B" w:rsidRPr="00435B25" w:rsidRDefault="0045114B" w:rsidP="0045114B">
      <w:pPr>
        <w:pStyle w:val="NormalWeb"/>
        <w:spacing w:before="0" w:beforeAutospacing="0" w:after="0" w:afterAutospacing="0"/>
        <w:jc w:val="both"/>
        <w:rPr>
          <w:rFonts w:ascii="Arial" w:hAnsi="Arial" w:cs="Arial"/>
          <w:color w:val="000000"/>
          <w:sz w:val="20"/>
          <w:szCs w:val="20"/>
        </w:rPr>
      </w:pPr>
      <w:r w:rsidRPr="00435B25">
        <w:rPr>
          <w:rFonts w:ascii="Arial" w:hAnsi="Arial" w:cs="Arial"/>
          <w:color w:val="000000"/>
          <w:sz w:val="20"/>
          <w:szCs w:val="20"/>
        </w:rPr>
        <w:t>Madam/Sir</w:t>
      </w:r>
    </w:p>
    <w:p w:rsidR="0045114B" w:rsidRPr="00435B25" w:rsidRDefault="0045114B" w:rsidP="0045114B">
      <w:pPr>
        <w:pStyle w:val="head"/>
        <w:jc w:val="center"/>
        <w:rPr>
          <w:rFonts w:ascii="Arial" w:hAnsi="Arial" w:cs="Arial"/>
          <w:b/>
          <w:bCs/>
          <w:color w:val="000000"/>
          <w:sz w:val="20"/>
          <w:szCs w:val="20"/>
        </w:rPr>
      </w:pPr>
      <w:r w:rsidRPr="00435B25">
        <w:rPr>
          <w:rFonts w:ascii="Arial" w:hAnsi="Arial" w:cs="Arial"/>
          <w:b/>
          <w:bCs/>
          <w:color w:val="000000"/>
          <w:sz w:val="20"/>
          <w:szCs w:val="20"/>
        </w:rPr>
        <w:t>Foreign Exchange Management (Overseas Investment) Directions, 2022</w:t>
      </w:r>
    </w:p>
    <w:p w:rsidR="0045114B" w:rsidRPr="00435B25" w:rsidRDefault="0045114B" w:rsidP="0045114B">
      <w:pPr>
        <w:pStyle w:val="NormalWeb"/>
        <w:jc w:val="both"/>
        <w:rPr>
          <w:rFonts w:ascii="Arial" w:hAnsi="Arial" w:cs="Arial"/>
          <w:color w:val="000000"/>
          <w:sz w:val="20"/>
          <w:szCs w:val="20"/>
        </w:rPr>
      </w:pPr>
      <w:r w:rsidRPr="00435B25">
        <w:rPr>
          <w:rFonts w:ascii="Arial" w:hAnsi="Arial" w:cs="Arial"/>
          <w:color w:val="000000"/>
          <w:sz w:val="20"/>
          <w:szCs w:val="20"/>
        </w:rPr>
        <w:t xml:space="preserve">Overseas investments by </w:t>
      </w:r>
      <w:proofErr w:type="gramStart"/>
      <w:r w:rsidRPr="00435B25">
        <w:rPr>
          <w:rFonts w:ascii="Arial" w:hAnsi="Arial" w:cs="Arial"/>
          <w:color w:val="000000"/>
          <w:sz w:val="20"/>
          <w:szCs w:val="20"/>
        </w:rPr>
        <w:t>persons</w:t>
      </w:r>
      <w:proofErr w:type="gramEnd"/>
      <w:r w:rsidRPr="00435B25">
        <w:rPr>
          <w:rFonts w:ascii="Arial" w:hAnsi="Arial" w:cs="Arial"/>
          <w:color w:val="000000"/>
          <w:sz w:val="20"/>
          <w:szCs w:val="20"/>
        </w:rPr>
        <w:t xml:space="preserve"> resident in India enhance the scale and scope of business operations of Indian entrepreneurs by providing global opportunities for growth. Such ventures through easier access to technology, research and development, a wider global market and reduced cost of capital along with other benefits increase the competitiveness of Indian entities and boost their brand value. These overseas investments are also important drivers of foreign trade and technology transfer thus boosting domestic employment, investment and growth through such interlinkages.</w:t>
      </w:r>
    </w:p>
    <w:p w:rsidR="0045114B" w:rsidRPr="00435B25" w:rsidRDefault="0045114B" w:rsidP="0045114B">
      <w:pPr>
        <w:pStyle w:val="NormalWeb"/>
        <w:jc w:val="both"/>
        <w:rPr>
          <w:rFonts w:ascii="Arial" w:hAnsi="Arial" w:cs="Arial"/>
          <w:color w:val="000000"/>
          <w:sz w:val="20"/>
          <w:szCs w:val="20"/>
        </w:rPr>
      </w:pPr>
      <w:r w:rsidRPr="00435B25">
        <w:rPr>
          <w:rFonts w:ascii="Arial" w:hAnsi="Arial" w:cs="Arial"/>
          <w:color w:val="000000"/>
          <w:sz w:val="20"/>
          <w:szCs w:val="20"/>
        </w:rPr>
        <w:t>2. In keeping with the spirit of liberalisation and to promote ease of doing business, the Central Government and the Reserve Bank of India have been progressively simplifying the procedures and rationalising the rules and regulations under the Foreign Exchange Management Act, 1999. In this direction, a significant step has been taken with operationalisation of a new Overseas Investment regime. </w:t>
      </w:r>
      <w:hyperlink r:id="rId36" w:tgtFrame="_blank" w:history="1">
        <w:r w:rsidRPr="00435B25">
          <w:rPr>
            <w:rStyle w:val="Hyperlink"/>
            <w:rFonts w:ascii="Arial" w:hAnsi="Arial" w:cs="Arial"/>
            <w:sz w:val="20"/>
            <w:szCs w:val="20"/>
          </w:rPr>
          <w:t>Foreign Exchange Management (Overseas Investment) Rules, 2022</w:t>
        </w:r>
      </w:hyperlink>
      <w:r w:rsidRPr="00435B25">
        <w:rPr>
          <w:rFonts w:ascii="Arial" w:hAnsi="Arial" w:cs="Arial"/>
          <w:color w:val="000000"/>
          <w:sz w:val="20"/>
          <w:szCs w:val="20"/>
        </w:rPr>
        <w:t> have been notified by the Central Government vide Notification No. G.S.R. 646(E) dated August 22, 2022 and </w:t>
      </w:r>
      <w:hyperlink r:id="rId37" w:tgtFrame="_blank" w:history="1">
        <w:r w:rsidRPr="00435B25">
          <w:rPr>
            <w:rStyle w:val="Hyperlink"/>
            <w:rFonts w:ascii="Arial" w:hAnsi="Arial" w:cs="Arial"/>
            <w:sz w:val="20"/>
            <w:szCs w:val="20"/>
          </w:rPr>
          <w:t>Foreign Exchange Management (Overseas Investment) Regulations, 2022</w:t>
        </w:r>
      </w:hyperlink>
      <w:r w:rsidRPr="00435B25">
        <w:rPr>
          <w:rFonts w:ascii="Arial" w:hAnsi="Arial" w:cs="Arial"/>
          <w:color w:val="000000"/>
          <w:sz w:val="20"/>
          <w:szCs w:val="20"/>
        </w:rPr>
        <w:t> have been notified by the Reserve Bank vide Notification No. FEMA 400/2022-RB dated August 22, 2022 in supersession of the </w:t>
      </w:r>
      <w:hyperlink r:id="rId38" w:tgtFrame="_blank" w:history="1">
        <w:r w:rsidRPr="00435B25">
          <w:rPr>
            <w:rStyle w:val="Hyperlink"/>
            <w:rFonts w:ascii="Arial" w:hAnsi="Arial" w:cs="Arial"/>
            <w:sz w:val="20"/>
            <w:szCs w:val="20"/>
          </w:rPr>
          <w:t>Notification No. FEMA 120/2004-RB dated July 07, 2004</w:t>
        </w:r>
      </w:hyperlink>
      <w:r w:rsidRPr="00435B25">
        <w:rPr>
          <w:rFonts w:ascii="Arial" w:hAnsi="Arial" w:cs="Arial"/>
          <w:color w:val="000000"/>
          <w:sz w:val="20"/>
          <w:szCs w:val="20"/>
        </w:rPr>
        <w:t> [Foreign Exchange Management (Transfer or Issue of any Foreign Security) (Amendment) Regulations, 2004] and </w:t>
      </w:r>
      <w:hyperlink r:id="rId39" w:tgtFrame="_blank" w:history="1">
        <w:r w:rsidRPr="00435B25">
          <w:rPr>
            <w:rStyle w:val="Hyperlink"/>
            <w:rFonts w:ascii="Arial" w:hAnsi="Arial" w:cs="Arial"/>
            <w:sz w:val="20"/>
            <w:szCs w:val="20"/>
          </w:rPr>
          <w:t>Notification No. FEMA 7 (R)/2015-RB dated January 21, 2016</w:t>
        </w:r>
      </w:hyperlink>
      <w:r w:rsidRPr="00435B25">
        <w:rPr>
          <w:rFonts w:ascii="Arial" w:hAnsi="Arial" w:cs="Arial"/>
          <w:color w:val="000000"/>
          <w:sz w:val="20"/>
          <w:szCs w:val="20"/>
        </w:rPr>
        <w:t xml:space="preserve"> [Foreign Exchange Management (Acquisition and Transfer of Immovable Property Outside India) Regulations, 2015]. The new regime simplifies the existing framework for overseas investment by </w:t>
      </w:r>
      <w:proofErr w:type="gramStart"/>
      <w:r w:rsidRPr="00435B25">
        <w:rPr>
          <w:rFonts w:ascii="Arial" w:hAnsi="Arial" w:cs="Arial"/>
          <w:color w:val="000000"/>
          <w:sz w:val="20"/>
          <w:szCs w:val="20"/>
        </w:rPr>
        <w:t>persons</w:t>
      </w:r>
      <w:proofErr w:type="gramEnd"/>
      <w:r w:rsidRPr="00435B25">
        <w:rPr>
          <w:rFonts w:ascii="Arial" w:hAnsi="Arial" w:cs="Arial"/>
          <w:color w:val="000000"/>
          <w:sz w:val="20"/>
          <w:szCs w:val="20"/>
        </w:rPr>
        <w:t xml:space="preserve"> resident in India to cover wider economic activity and significantly reduces the need for seeking specific approvals. This will reduce the compliance burden and associated compliance costs.</w:t>
      </w:r>
    </w:p>
    <w:p w:rsidR="0045114B" w:rsidRPr="00435B25" w:rsidRDefault="0045114B" w:rsidP="0045114B">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3. Some of the significant changes brought about through the new rules and regulations are summarised below:</w:t>
      </w:r>
    </w:p>
    <w:p w:rsidR="0045114B" w:rsidRPr="00435B25" w:rsidRDefault="0045114B" w:rsidP="0045114B">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w:t>
      </w:r>
      <w:proofErr w:type="spellStart"/>
      <w:r w:rsidRPr="00435B25">
        <w:rPr>
          <w:rFonts w:ascii="Arial" w:hAnsi="Arial" w:cs="Arial"/>
          <w:color w:val="000000"/>
          <w:sz w:val="20"/>
          <w:szCs w:val="20"/>
        </w:rPr>
        <w:t>i</w:t>
      </w:r>
      <w:proofErr w:type="spellEnd"/>
      <w:r w:rsidRPr="00435B25">
        <w:rPr>
          <w:rFonts w:ascii="Arial" w:hAnsi="Arial" w:cs="Arial"/>
          <w:color w:val="000000"/>
          <w:sz w:val="20"/>
          <w:szCs w:val="20"/>
        </w:rPr>
        <w:t>) enhanced clarity with respect to various definitions;</w:t>
      </w:r>
    </w:p>
    <w:p w:rsidR="0045114B" w:rsidRPr="00435B25" w:rsidRDefault="0045114B" w:rsidP="0045114B">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(ii) introduction of the concept of “strategic sector”;</w:t>
      </w:r>
    </w:p>
    <w:p w:rsidR="0045114B" w:rsidRPr="00435B25" w:rsidRDefault="0045114B" w:rsidP="0045114B">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(iii) dispensing with the requirement of approval for:</w:t>
      </w:r>
    </w:p>
    <w:p w:rsidR="0045114B" w:rsidRPr="00435B25" w:rsidRDefault="0045114B" w:rsidP="00435B25">
      <w:pPr>
        <w:pStyle w:val="NormalWeb"/>
        <w:numPr>
          <w:ilvl w:val="0"/>
          <w:numId w:val="18"/>
        </w:numPr>
        <w:spacing w:before="0" w:beforeAutospacing="0"/>
        <w:ind w:left="0"/>
        <w:jc w:val="both"/>
        <w:rPr>
          <w:rFonts w:ascii="Arial" w:hAnsi="Arial" w:cs="Arial"/>
          <w:color w:val="000000"/>
          <w:sz w:val="20"/>
          <w:szCs w:val="20"/>
        </w:rPr>
      </w:pPr>
      <w:r w:rsidRPr="00435B25">
        <w:rPr>
          <w:rFonts w:ascii="Arial" w:hAnsi="Arial" w:cs="Arial"/>
          <w:color w:val="000000"/>
          <w:sz w:val="20"/>
          <w:szCs w:val="20"/>
        </w:rPr>
        <w:t>deferred payment of consideration;</w:t>
      </w:r>
    </w:p>
    <w:p w:rsidR="0045114B" w:rsidRPr="00435B25" w:rsidRDefault="0045114B" w:rsidP="0045114B">
      <w:pPr>
        <w:pStyle w:val="NormalWeb"/>
        <w:numPr>
          <w:ilvl w:val="0"/>
          <w:numId w:val="18"/>
        </w:numPr>
        <w:ind w:left="0"/>
        <w:jc w:val="both"/>
        <w:rPr>
          <w:rFonts w:ascii="Arial" w:hAnsi="Arial" w:cs="Arial"/>
          <w:color w:val="000000"/>
          <w:sz w:val="20"/>
          <w:szCs w:val="20"/>
        </w:rPr>
      </w:pPr>
      <w:r w:rsidRPr="00435B25">
        <w:rPr>
          <w:rFonts w:ascii="Arial" w:hAnsi="Arial" w:cs="Arial"/>
          <w:color w:val="000000"/>
          <w:sz w:val="20"/>
          <w:szCs w:val="20"/>
        </w:rPr>
        <w:t xml:space="preserve">investment/disinvestment by </w:t>
      </w:r>
      <w:proofErr w:type="gramStart"/>
      <w:r w:rsidRPr="00435B25">
        <w:rPr>
          <w:rFonts w:ascii="Arial" w:hAnsi="Arial" w:cs="Arial"/>
          <w:color w:val="000000"/>
          <w:sz w:val="20"/>
          <w:szCs w:val="20"/>
        </w:rPr>
        <w:t>persons</w:t>
      </w:r>
      <w:proofErr w:type="gramEnd"/>
      <w:r w:rsidRPr="00435B25">
        <w:rPr>
          <w:rFonts w:ascii="Arial" w:hAnsi="Arial" w:cs="Arial"/>
          <w:color w:val="000000"/>
          <w:sz w:val="20"/>
          <w:szCs w:val="20"/>
        </w:rPr>
        <w:t xml:space="preserve"> resident in India under investigation by any investigative agency/regulatory body;</w:t>
      </w:r>
    </w:p>
    <w:p w:rsidR="0045114B" w:rsidRPr="00435B25" w:rsidRDefault="0045114B" w:rsidP="0045114B">
      <w:pPr>
        <w:pStyle w:val="NormalWeb"/>
        <w:numPr>
          <w:ilvl w:val="0"/>
          <w:numId w:val="18"/>
        </w:numPr>
        <w:ind w:left="0"/>
        <w:jc w:val="both"/>
        <w:rPr>
          <w:rFonts w:ascii="Arial" w:hAnsi="Arial" w:cs="Arial"/>
          <w:color w:val="000000"/>
          <w:sz w:val="20"/>
          <w:szCs w:val="20"/>
        </w:rPr>
      </w:pPr>
      <w:r w:rsidRPr="00435B25">
        <w:rPr>
          <w:rFonts w:ascii="Arial" w:hAnsi="Arial" w:cs="Arial"/>
          <w:color w:val="000000"/>
          <w:sz w:val="20"/>
          <w:szCs w:val="20"/>
        </w:rPr>
        <w:t>issuance of corporate guarantees to or on behalf of second or subsequent level step down subsidiary (SDS);</w:t>
      </w:r>
    </w:p>
    <w:p w:rsidR="0045114B" w:rsidRPr="00435B25" w:rsidRDefault="0045114B" w:rsidP="00435B25">
      <w:pPr>
        <w:pStyle w:val="NormalWeb"/>
        <w:numPr>
          <w:ilvl w:val="0"/>
          <w:numId w:val="18"/>
        </w:numPr>
        <w:spacing w:before="0" w:beforeAutospacing="0" w:after="0" w:afterAutospacing="0"/>
        <w:ind w:left="0"/>
        <w:jc w:val="both"/>
        <w:rPr>
          <w:rFonts w:ascii="Arial" w:hAnsi="Arial" w:cs="Arial"/>
          <w:color w:val="000000"/>
          <w:sz w:val="20"/>
          <w:szCs w:val="20"/>
        </w:rPr>
      </w:pPr>
      <w:r w:rsidRPr="00435B25">
        <w:rPr>
          <w:rFonts w:ascii="Arial" w:hAnsi="Arial" w:cs="Arial"/>
          <w:color w:val="000000"/>
          <w:sz w:val="20"/>
          <w:szCs w:val="20"/>
        </w:rPr>
        <w:t>write-off on account of disinvestment;</w:t>
      </w:r>
    </w:p>
    <w:p w:rsidR="0045114B" w:rsidRPr="00435B25" w:rsidRDefault="0045114B" w:rsidP="00435B25">
      <w:pPr>
        <w:pStyle w:val="NormalWeb"/>
        <w:spacing w:before="0" w:beforeAutospacing="0" w:after="0" w:afterAutospacing="0"/>
        <w:jc w:val="both"/>
        <w:rPr>
          <w:rFonts w:ascii="Arial" w:hAnsi="Arial" w:cs="Arial"/>
          <w:color w:val="000000"/>
          <w:sz w:val="20"/>
          <w:szCs w:val="20"/>
        </w:rPr>
      </w:pPr>
      <w:r w:rsidRPr="00435B25">
        <w:rPr>
          <w:rFonts w:ascii="Arial" w:hAnsi="Arial" w:cs="Arial"/>
          <w:color w:val="000000"/>
          <w:sz w:val="20"/>
          <w:szCs w:val="20"/>
        </w:rPr>
        <w:t>(iv) introduction of “Late Submission Fee (LSF)” for reporting delays.</w:t>
      </w:r>
    </w:p>
    <w:p w:rsidR="00EC7DEE" w:rsidRDefault="0045114B" w:rsidP="00EC7DEE">
      <w:pPr>
        <w:pStyle w:val="NormalWeb"/>
        <w:spacing w:after="0" w:afterAutospacing="0"/>
        <w:rPr>
          <w:rFonts w:ascii="Arial" w:hAnsi="Arial" w:cs="Arial"/>
          <w:color w:val="000000"/>
          <w:sz w:val="20"/>
          <w:szCs w:val="20"/>
        </w:rPr>
      </w:pPr>
      <w:r w:rsidRPr="00435B25">
        <w:rPr>
          <w:rFonts w:ascii="Arial" w:hAnsi="Arial" w:cs="Arial"/>
          <w:color w:val="000000"/>
          <w:sz w:val="20"/>
          <w:szCs w:val="20"/>
        </w:rPr>
        <w:t>Yours faithfully</w:t>
      </w:r>
    </w:p>
    <w:p w:rsidR="0045114B" w:rsidRPr="00435B25" w:rsidRDefault="0045114B" w:rsidP="00EC7DEE">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 xml:space="preserve">Ajay Kumar </w:t>
      </w:r>
      <w:proofErr w:type="spellStart"/>
      <w:r w:rsidRPr="00435B25">
        <w:rPr>
          <w:rFonts w:ascii="Arial" w:hAnsi="Arial" w:cs="Arial"/>
          <w:color w:val="000000"/>
          <w:sz w:val="20"/>
          <w:szCs w:val="20"/>
        </w:rPr>
        <w:t>Misra</w:t>
      </w:r>
      <w:proofErr w:type="spellEnd"/>
      <w:r w:rsidRPr="00435B25">
        <w:rPr>
          <w:rFonts w:ascii="Arial" w:hAnsi="Arial" w:cs="Arial"/>
          <w:color w:val="000000"/>
          <w:sz w:val="20"/>
          <w:szCs w:val="20"/>
        </w:rPr>
        <w:br/>
        <w:t>Chief General Manager-in-Charge</w:t>
      </w:r>
    </w:p>
    <w:p w:rsidR="00435B25" w:rsidRDefault="00435B25" w:rsidP="00435B25">
      <w:pPr>
        <w:rPr>
          <w:rFonts w:ascii="Arial" w:hAnsi="Arial" w:cs="Arial"/>
          <w:sz w:val="20"/>
          <w:szCs w:val="20"/>
        </w:rPr>
      </w:pPr>
    </w:p>
    <w:p w:rsidR="00435B25" w:rsidRPr="00435B25" w:rsidRDefault="00435B25" w:rsidP="00435B25">
      <w:pPr>
        <w:spacing w:after="0"/>
        <w:rPr>
          <w:rFonts w:ascii="Arial" w:hAnsi="Arial" w:cs="Arial"/>
          <w:sz w:val="20"/>
          <w:szCs w:val="20"/>
        </w:rPr>
      </w:pPr>
    </w:p>
    <w:p w:rsidR="00435B25" w:rsidRPr="00435B25" w:rsidRDefault="00435B25" w:rsidP="00435B25">
      <w:pPr>
        <w:spacing w:after="0"/>
        <w:rPr>
          <w:rFonts w:ascii="Arial" w:hAnsi="Arial" w:cs="Arial"/>
          <w:sz w:val="20"/>
          <w:szCs w:val="20"/>
        </w:rPr>
      </w:pPr>
      <w:r w:rsidRPr="00435B25">
        <w:rPr>
          <w:rFonts w:ascii="Arial" w:hAnsi="Arial" w:cs="Arial"/>
          <w:sz w:val="20"/>
          <w:szCs w:val="20"/>
        </w:rPr>
        <w:t>More details can be referred to in the below link.</w:t>
      </w:r>
    </w:p>
    <w:p w:rsidR="00435B25" w:rsidRPr="00435B25" w:rsidRDefault="00435B25" w:rsidP="005D5DB2">
      <w:pPr>
        <w:rPr>
          <w:rFonts w:ascii="Arial" w:hAnsi="Arial" w:cs="Arial"/>
          <w:sz w:val="20"/>
          <w:szCs w:val="20"/>
        </w:rPr>
      </w:pPr>
      <w:r w:rsidRPr="00435B25">
        <w:rPr>
          <w:rFonts w:ascii="Arial" w:hAnsi="Arial" w:cs="Arial"/>
          <w:sz w:val="20"/>
          <w:szCs w:val="20"/>
        </w:rPr>
        <w:t xml:space="preserve">Reference Link: </w:t>
      </w:r>
      <w:hyperlink r:id="rId40" w:history="1">
        <w:r w:rsidRPr="00435B25">
          <w:rPr>
            <w:rStyle w:val="Hyperlink"/>
            <w:rFonts w:ascii="Arial" w:hAnsi="Arial" w:cs="Arial"/>
            <w:sz w:val="20"/>
            <w:szCs w:val="20"/>
          </w:rPr>
          <w:t>https://www.rbi.org.in/scripts/NotificationUser.aspx?Id=12381&amp;Mode=0</w:t>
        </w:r>
      </w:hyperlink>
    </w:p>
    <w:p w:rsidR="00435B25" w:rsidRDefault="00435B25" w:rsidP="005D5DB2"/>
    <w:p w:rsidR="00F00FBC" w:rsidRDefault="00F00FBC" w:rsidP="00F00FBC">
      <w:pPr>
        <w:pStyle w:val="NormalWeb"/>
        <w:rPr>
          <w:rFonts w:ascii="Arial" w:hAnsi="Arial" w:cs="Arial"/>
          <w:b/>
          <w:bCs/>
          <w:color w:val="000000"/>
          <w:sz w:val="20"/>
          <w:szCs w:val="20"/>
        </w:rPr>
      </w:pPr>
      <w:r>
        <w:rPr>
          <w:rFonts w:ascii="Arial" w:hAnsi="Arial" w:cs="Arial"/>
          <w:b/>
          <w:bCs/>
          <w:color w:val="000000"/>
          <w:sz w:val="20"/>
          <w:szCs w:val="20"/>
        </w:rPr>
        <w:lastRenderedPageBreak/>
        <w:t>Master Directions on Interest Rate on Deposits</w:t>
      </w:r>
    </w:p>
    <w:p w:rsidR="00F00FBC" w:rsidRDefault="00F00FBC" w:rsidP="00F00FBC">
      <w:pPr>
        <w:pStyle w:val="NormalWeb"/>
        <w:jc w:val="both"/>
        <w:rPr>
          <w:rFonts w:ascii="Arial" w:hAnsi="Arial" w:cs="Arial"/>
          <w:color w:val="000000"/>
          <w:sz w:val="20"/>
          <w:szCs w:val="20"/>
        </w:rPr>
      </w:pPr>
      <w:r>
        <w:rPr>
          <w:rFonts w:ascii="Arial" w:hAnsi="Arial" w:cs="Arial"/>
          <w:color w:val="000000"/>
          <w:sz w:val="20"/>
          <w:szCs w:val="20"/>
        </w:rPr>
        <w:t>RBI/2022-2023/117</w:t>
      </w:r>
      <w:r>
        <w:rPr>
          <w:rFonts w:ascii="Arial" w:hAnsi="Arial" w:cs="Arial"/>
          <w:color w:val="000000"/>
          <w:sz w:val="20"/>
          <w:szCs w:val="20"/>
        </w:rPr>
        <w:br/>
        <w:t>DOR.SOG (SPE).</w:t>
      </w:r>
      <w:proofErr w:type="spellStart"/>
      <w:r>
        <w:rPr>
          <w:rFonts w:ascii="Arial" w:hAnsi="Arial" w:cs="Arial"/>
          <w:color w:val="000000"/>
          <w:sz w:val="20"/>
          <w:szCs w:val="20"/>
        </w:rPr>
        <w:t>REC.No</w:t>
      </w:r>
      <w:proofErr w:type="spellEnd"/>
      <w:r>
        <w:rPr>
          <w:rFonts w:ascii="Arial" w:hAnsi="Arial" w:cs="Arial"/>
          <w:color w:val="000000"/>
          <w:sz w:val="20"/>
          <w:szCs w:val="20"/>
        </w:rPr>
        <w:t xml:space="preserve"> 68/13.03.00/2022-23</w:t>
      </w:r>
    </w:p>
    <w:p w:rsidR="00F00FBC" w:rsidRDefault="00F00FBC" w:rsidP="00F00FBC">
      <w:pPr>
        <w:pStyle w:val="NormalWeb"/>
        <w:jc w:val="right"/>
        <w:rPr>
          <w:rFonts w:ascii="Arial" w:hAnsi="Arial" w:cs="Arial"/>
          <w:color w:val="000000"/>
          <w:sz w:val="20"/>
          <w:szCs w:val="20"/>
        </w:rPr>
      </w:pPr>
      <w:r>
        <w:rPr>
          <w:rFonts w:ascii="Arial" w:hAnsi="Arial" w:cs="Arial"/>
          <w:color w:val="000000"/>
          <w:sz w:val="20"/>
          <w:szCs w:val="20"/>
        </w:rPr>
        <w:t>September 16, 2022</w:t>
      </w:r>
    </w:p>
    <w:p w:rsidR="00F00FBC" w:rsidRDefault="00F00FBC" w:rsidP="00F00FBC">
      <w:pPr>
        <w:pStyle w:val="NormalWeb"/>
        <w:rPr>
          <w:rFonts w:ascii="Arial" w:hAnsi="Arial" w:cs="Arial"/>
          <w:color w:val="000000"/>
          <w:sz w:val="20"/>
          <w:szCs w:val="20"/>
        </w:rPr>
      </w:pPr>
      <w:r>
        <w:rPr>
          <w:rFonts w:ascii="Arial" w:hAnsi="Arial" w:cs="Arial"/>
          <w:color w:val="000000"/>
          <w:sz w:val="20"/>
          <w:szCs w:val="20"/>
        </w:rPr>
        <w:t>All Scheduled Commercial Banks (including Regional Rural Banks)</w:t>
      </w:r>
      <w:r>
        <w:rPr>
          <w:rFonts w:ascii="Arial" w:hAnsi="Arial" w:cs="Arial"/>
          <w:color w:val="000000"/>
          <w:sz w:val="20"/>
          <w:szCs w:val="20"/>
        </w:rPr>
        <w:br/>
        <w:t>All Small Finance Banks</w:t>
      </w:r>
      <w:r>
        <w:rPr>
          <w:rFonts w:ascii="Arial" w:hAnsi="Arial" w:cs="Arial"/>
          <w:color w:val="000000"/>
          <w:sz w:val="20"/>
          <w:szCs w:val="20"/>
        </w:rPr>
        <w:br/>
        <w:t>All Payment Banks</w:t>
      </w:r>
      <w:r>
        <w:rPr>
          <w:rFonts w:ascii="Arial" w:hAnsi="Arial" w:cs="Arial"/>
          <w:color w:val="000000"/>
          <w:sz w:val="20"/>
          <w:szCs w:val="20"/>
        </w:rPr>
        <w:br/>
        <w:t>All Local Area Banks</w:t>
      </w:r>
      <w:r>
        <w:rPr>
          <w:rFonts w:ascii="Arial" w:hAnsi="Arial" w:cs="Arial"/>
          <w:color w:val="000000"/>
          <w:sz w:val="20"/>
          <w:szCs w:val="20"/>
        </w:rPr>
        <w:br/>
        <w:t>All Primary (Urban) Co-operative Banks/ DCCBs /State Cooperative Banks</w:t>
      </w:r>
    </w:p>
    <w:p w:rsidR="00F00FBC" w:rsidRDefault="00F00FBC" w:rsidP="00F00FBC">
      <w:pPr>
        <w:pStyle w:val="NormalWeb"/>
        <w:jc w:val="both"/>
        <w:rPr>
          <w:rFonts w:ascii="Arial" w:hAnsi="Arial" w:cs="Arial"/>
          <w:color w:val="000000"/>
          <w:sz w:val="20"/>
          <w:szCs w:val="20"/>
        </w:rPr>
      </w:pPr>
      <w:r>
        <w:rPr>
          <w:rFonts w:ascii="Arial" w:hAnsi="Arial" w:cs="Arial"/>
          <w:color w:val="000000"/>
          <w:sz w:val="20"/>
          <w:szCs w:val="20"/>
        </w:rPr>
        <w:t>Sir / Madam,</w:t>
      </w:r>
    </w:p>
    <w:p w:rsidR="00F00FBC" w:rsidRDefault="00F00FBC" w:rsidP="00F00FBC">
      <w:pPr>
        <w:pStyle w:val="head"/>
        <w:jc w:val="both"/>
        <w:rPr>
          <w:rFonts w:ascii="Arial" w:hAnsi="Arial" w:cs="Arial"/>
          <w:b/>
          <w:bCs/>
          <w:color w:val="000000"/>
          <w:sz w:val="20"/>
          <w:szCs w:val="20"/>
        </w:rPr>
      </w:pPr>
      <w:r>
        <w:rPr>
          <w:rFonts w:ascii="Arial" w:hAnsi="Arial" w:cs="Arial"/>
          <w:b/>
          <w:bCs/>
          <w:color w:val="000000"/>
          <w:sz w:val="20"/>
          <w:szCs w:val="20"/>
        </w:rPr>
        <w:t>Master Directions on Interest Rate on Deposits</w:t>
      </w:r>
    </w:p>
    <w:p w:rsidR="00F00FBC" w:rsidRDefault="00F00FBC" w:rsidP="00F00FBC">
      <w:pPr>
        <w:pStyle w:val="NormalWeb"/>
        <w:jc w:val="both"/>
        <w:rPr>
          <w:rFonts w:ascii="Arial" w:hAnsi="Arial" w:cs="Arial"/>
          <w:color w:val="000000"/>
          <w:sz w:val="20"/>
          <w:szCs w:val="20"/>
        </w:rPr>
      </w:pPr>
      <w:r>
        <w:rPr>
          <w:rFonts w:ascii="Arial" w:hAnsi="Arial" w:cs="Arial"/>
          <w:color w:val="000000"/>
          <w:sz w:val="20"/>
          <w:szCs w:val="20"/>
        </w:rPr>
        <w:t>Please refer to the instructions on the Foreign Currency (Non-resident) Accounts (Banks) Scheme contained in Section 19 (h) of the </w:t>
      </w:r>
      <w:hyperlink r:id="rId41" w:tgtFrame="_blank" w:history="1">
        <w:r>
          <w:rPr>
            <w:rStyle w:val="Hyperlink"/>
            <w:rFonts w:ascii="Arial" w:hAnsi="Arial" w:cs="Arial"/>
            <w:sz w:val="20"/>
            <w:szCs w:val="20"/>
          </w:rPr>
          <w:t>Master Direction - Reserve Bank of India (Interest Rate on Deposits) Directions, 2016 dated March 03, 2016</w:t>
        </w:r>
      </w:hyperlink>
      <w:r>
        <w:rPr>
          <w:rFonts w:ascii="Arial" w:hAnsi="Arial" w:cs="Arial"/>
          <w:color w:val="000000"/>
          <w:sz w:val="20"/>
          <w:szCs w:val="20"/>
        </w:rPr>
        <w:t> and Section 18 (h) of the </w:t>
      </w:r>
      <w:hyperlink r:id="rId42" w:tgtFrame="_blank" w:history="1">
        <w:r>
          <w:rPr>
            <w:rStyle w:val="Hyperlink"/>
            <w:rFonts w:ascii="Arial" w:hAnsi="Arial" w:cs="Arial"/>
            <w:sz w:val="20"/>
            <w:szCs w:val="20"/>
          </w:rPr>
          <w:t>Master Direction – Reserve Bank of India (Co-operative Banks – Interest Rate on Deposits) Directions, 2016 dated May 12, 2016</w:t>
        </w:r>
      </w:hyperlink>
      <w:r>
        <w:rPr>
          <w:rFonts w:ascii="Arial" w:hAnsi="Arial" w:cs="Arial"/>
          <w:color w:val="000000"/>
          <w:sz w:val="20"/>
          <w:szCs w:val="20"/>
        </w:rPr>
        <w:t> in terms of which, reference rates for arriving at the interest rates on FCNR (B) deposits shall be quoted / displayed by Foreign Exchange Dealers Association of India (FEDAI).</w:t>
      </w:r>
    </w:p>
    <w:p w:rsidR="00F00FBC" w:rsidRDefault="00F00FBC" w:rsidP="00F00FBC">
      <w:pPr>
        <w:pStyle w:val="NormalWeb"/>
        <w:jc w:val="both"/>
        <w:rPr>
          <w:rFonts w:ascii="Arial" w:hAnsi="Arial" w:cs="Arial"/>
          <w:color w:val="000000"/>
          <w:sz w:val="20"/>
          <w:szCs w:val="20"/>
        </w:rPr>
      </w:pPr>
      <w:r>
        <w:rPr>
          <w:rFonts w:ascii="Arial" w:hAnsi="Arial" w:cs="Arial"/>
          <w:color w:val="000000"/>
          <w:sz w:val="20"/>
          <w:szCs w:val="20"/>
        </w:rPr>
        <w:t xml:space="preserve">2. In terms of the guidance provided by RBI, the reference rates mentioned above are being quoted / displayed by Financial Benchmarks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(FBIL) with effect from January 31, 2022. In this regard, the relevant sections of both the Master Directions on Interest Rate on Deposits have been suitably modified.</w:t>
      </w:r>
    </w:p>
    <w:p w:rsidR="00F00FBC" w:rsidRDefault="00F00FBC" w:rsidP="00F00FBC">
      <w:pPr>
        <w:pStyle w:val="NormalWeb"/>
        <w:jc w:val="both"/>
        <w:rPr>
          <w:rFonts w:ascii="Arial" w:hAnsi="Arial" w:cs="Arial"/>
          <w:color w:val="000000"/>
          <w:sz w:val="20"/>
          <w:szCs w:val="20"/>
        </w:rPr>
      </w:pPr>
      <w:r>
        <w:rPr>
          <w:rFonts w:ascii="Arial" w:hAnsi="Arial" w:cs="Arial"/>
          <w:color w:val="000000"/>
          <w:sz w:val="20"/>
          <w:szCs w:val="20"/>
        </w:rPr>
        <w:t>3. Further, the instructions regarding eligibility for opening of savings account contained in Section 28 (h) and Section 27 (h) of the above-mentioned </w:t>
      </w:r>
      <w:hyperlink r:id="rId43" w:tgtFrame="_blank" w:history="1">
        <w:r>
          <w:rPr>
            <w:rStyle w:val="Hyperlink"/>
            <w:rFonts w:ascii="Arial" w:hAnsi="Arial" w:cs="Arial"/>
            <w:sz w:val="20"/>
            <w:szCs w:val="20"/>
          </w:rPr>
          <w:t>Master Directions (MDs) dated March 03, 2016</w:t>
        </w:r>
      </w:hyperlink>
      <w:r>
        <w:rPr>
          <w:rFonts w:ascii="Arial" w:hAnsi="Arial" w:cs="Arial"/>
          <w:color w:val="000000"/>
          <w:sz w:val="20"/>
          <w:szCs w:val="20"/>
        </w:rPr>
        <w:t> and </w:t>
      </w:r>
      <w:hyperlink r:id="rId44" w:tgtFrame="_blank" w:history="1">
        <w:r>
          <w:rPr>
            <w:rStyle w:val="Hyperlink"/>
            <w:rFonts w:ascii="Arial" w:hAnsi="Arial" w:cs="Arial"/>
            <w:sz w:val="20"/>
            <w:szCs w:val="20"/>
          </w:rPr>
          <w:t>May 12, 2016</w:t>
        </w:r>
      </w:hyperlink>
      <w:r>
        <w:rPr>
          <w:rFonts w:ascii="Arial" w:hAnsi="Arial" w:cs="Arial"/>
          <w:color w:val="000000"/>
          <w:sz w:val="20"/>
          <w:szCs w:val="20"/>
        </w:rPr>
        <w:t>, respectively, and item No. 6 in Schedule I of the two MDs have been modified to make them more explicit.</w:t>
      </w:r>
    </w:p>
    <w:p w:rsidR="00F00FBC" w:rsidRDefault="00F00FBC" w:rsidP="00F00FBC">
      <w:pPr>
        <w:pStyle w:val="NormalWeb"/>
        <w:jc w:val="both"/>
        <w:rPr>
          <w:rFonts w:ascii="Arial" w:hAnsi="Arial" w:cs="Arial"/>
          <w:color w:val="000000"/>
          <w:sz w:val="20"/>
          <w:szCs w:val="20"/>
        </w:rPr>
      </w:pPr>
      <w:r>
        <w:rPr>
          <w:rFonts w:ascii="Arial" w:hAnsi="Arial" w:cs="Arial"/>
          <w:color w:val="000000"/>
          <w:sz w:val="20"/>
          <w:szCs w:val="20"/>
        </w:rPr>
        <w:t>4. The relevant sections of the Master Directions as amended are indicated in the </w:t>
      </w:r>
      <w:hyperlink r:id="rId45" w:anchor="A_N" w:history="1">
        <w:r>
          <w:rPr>
            <w:rStyle w:val="Hyperlink"/>
            <w:rFonts w:ascii="Arial" w:hAnsi="Arial" w:cs="Arial"/>
            <w:sz w:val="20"/>
            <w:szCs w:val="20"/>
          </w:rPr>
          <w:t>Annex</w:t>
        </w:r>
      </w:hyperlink>
      <w:r>
        <w:rPr>
          <w:rFonts w:ascii="Arial" w:hAnsi="Arial" w:cs="Arial"/>
          <w:color w:val="000000"/>
          <w:sz w:val="20"/>
          <w:szCs w:val="20"/>
        </w:rPr>
        <w:t>.</w:t>
      </w:r>
    </w:p>
    <w:p w:rsidR="00F00FBC" w:rsidRDefault="00F00FBC" w:rsidP="00F00FBC">
      <w:pPr>
        <w:pStyle w:val="NormalWeb"/>
        <w:jc w:val="both"/>
        <w:rPr>
          <w:rFonts w:ascii="Arial" w:hAnsi="Arial" w:cs="Arial"/>
          <w:color w:val="000000"/>
          <w:sz w:val="20"/>
          <w:szCs w:val="20"/>
        </w:rPr>
      </w:pPr>
      <w:r>
        <w:rPr>
          <w:rFonts w:ascii="Arial" w:hAnsi="Arial" w:cs="Arial"/>
          <w:color w:val="000000"/>
          <w:sz w:val="20"/>
          <w:szCs w:val="20"/>
        </w:rPr>
        <w:t>5. All other instructions in this regard shall remain unchanged.</w:t>
      </w:r>
    </w:p>
    <w:p w:rsidR="00F00FBC" w:rsidRDefault="00F00FBC" w:rsidP="00F00FBC">
      <w:pPr>
        <w:pStyle w:val="NormalWeb"/>
        <w:jc w:val="both"/>
        <w:rPr>
          <w:rFonts w:ascii="Arial" w:hAnsi="Arial" w:cs="Arial"/>
          <w:color w:val="000000"/>
          <w:sz w:val="20"/>
          <w:szCs w:val="20"/>
        </w:rPr>
      </w:pPr>
      <w:r>
        <w:rPr>
          <w:rFonts w:ascii="Arial" w:hAnsi="Arial" w:cs="Arial"/>
          <w:color w:val="000000"/>
          <w:sz w:val="20"/>
          <w:szCs w:val="20"/>
        </w:rPr>
        <w:t>Yours faithfully,</w:t>
      </w:r>
    </w:p>
    <w:p w:rsidR="00F00FBC" w:rsidRDefault="00F00FBC" w:rsidP="00F00FBC">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t>)</w:t>
      </w:r>
      <w:r>
        <w:rPr>
          <w:rFonts w:ascii="Arial" w:hAnsi="Arial" w:cs="Arial"/>
          <w:color w:val="000000"/>
          <w:sz w:val="20"/>
          <w:szCs w:val="20"/>
        </w:rPr>
        <w:br/>
        <w:t>Chief General Manager</w:t>
      </w:r>
    </w:p>
    <w:p w:rsidR="00F00FBC" w:rsidRDefault="00F00FBC" w:rsidP="00F00FBC"/>
    <w:p w:rsidR="00F00FBC" w:rsidRDefault="00F00FBC" w:rsidP="00F00FBC"/>
    <w:p w:rsidR="00F00FBC" w:rsidRDefault="00F00FBC" w:rsidP="00F00FBC">
      <w:r>
        <w:t>More details can be referred to in the below link.</w:t>
      </w:r>
    </w:p>
    <w:p w:rsidR="00F00FBC" w:rsidRDefault="00F00FBC" w:rsidP="00F00FBC">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46" w:history="1">
        <w:r w:rsidRPr="006865D6">
          <w:rPr>
            <w:rStyle w:val="Hyperlink"/>
            <w:rFonts w:ascii="Arial" w:hAnsi="Arial" w:cs="Arial"/>
            <w:bCs/>
            <w:sz w:val="20"/>
            <w:szCs w:val="20"/>
          </w:rPr>
          <w:t>https://rbi.org.in/Scripts/NotificationUser.aspx?Id=12388&amp;Mode=0</w:t>
        </w:r>
      </w:hyperlink>
    </w:p>
    <w:p w:rsidR="00F00FBC" w:rsidRDefault="00F00FBC" w:rsidP="00F00FBC">
      <w:pPr>
        <w:pStyle w:val="NormalWeb"/>
        <w:rPr>
          <w:rFonts w:ascii="Arial" w:hAnsi="Arial" w:cs="Arial"/>
          <w:bCs/>
          <w:color w:val="000000"/>
          <w:sz w:val="20"/>
          <w:szCs w:val="20"/>
        </w:rPr>
      </w:pPr>
    </w:p>
    <w:p w:rsidR="009F305B" w:rsidRDefault="009F305B" w:rsidP="009F305B">
      <w:pPr>
        <w:spacing w:after="0"/>
        <w:rPr>
          <w:rFonts w:ascii="Arial" w:hAnsi="Arial" w:cs="Arial"/>
          <w:sz w:val="20"/>
          <w:szCs w:val="20"/>
        </w:rPr>
      </w:pPr>
    </w:p>
    <w:p w:rsidR="002A5E5F" w:rsidRDefault="002A5E5F" w:rsidP="009F305B">
      <w:pPr>
        <w:spacing w:after="0"/>
        <w:rPr>
          <w:rFonts w:ascii="Arial" w:hAnsi="Arial" w:cs="Arial"/>
          <w:sz w:val="20"/>
          <w:szCs w:val="20"/>
        </w:rPr>
      </w:pPr>
    </w:p>
    <w:p w:rsidR="000D141C" w:rsidRDefault="000D141C" w:rsidP="009F305B">
      <w:pPr>
        <w:spacing w:after="0"/>
        <w:rPr>
          <w:rFonts w:ascii="Arial" w:hAnsi="Arial" w:cs="Arial"/>
          <w:b/>
          <w:bCs/>
          <w:color w:val="000000"/>
          <w:sz w:val="20"/>
          <w:szCs w:val="20"/>
        </w:rPr>
      </w:pPr>
      <w:r>
        <w:rPr>
          <w:rFonts w:ascii="Arial" w:hAnsi="Arial" w:cs="Arial"/>
          <w:b/>
          <w:bCs/>
          <w:color w:val="000000"/>
          <w:sz w:val="20"/>
          <w:szCs w:val="20"/>
        </w:rPr>
        <w:lastRenderedPageBreak/>
        <w:t>Late Submission Fee for reporting delays under Foreign Exchange Management Act, 1999 (FEMA)</w:t>
      </w:r>
    </w:p>
    <w:p w:rsidR="000D141C" w:rsidRDefault="000D141C" w:rsidP="009F305B">
      <w:pPr>
        <w:spacing w:after="0"/>
        <w:rPr>
          <w:rFonts w:ascii="Arial" w:hAnsi="Arial" w:cs="Arial"/>
          <w:b/>
          <w:bCs/>
          <w:color w:val="000000"/>
          <w:sz w:val="20"/>
          <w:szCs w:val="20"/>
        </w:rPr>
      </w:pPr>
    </w:p>
    <w:p w:rsidR="000D141C" w:rsidRDefault="000D141C" w:rsidP="000D141C">
      <w:pPr>
        <w:pStyle w:val="NormalWeb"/>
        <w:jc w:val="both"/>
        <w:rPr>
          <w:rFonts w:ascii="Arial" w:hAnsi="Arial" w:cs="Arial"/>
          <w:color w:val="000000"/>
          <w:sz w:val="20"/>
          <w:szCs w:val="20"/>
        </w:rPr>
      </w:pPr>
      <w:r>
        <w:rPr>
          <w:rFonts w:ascii="Arial" w:hAnsi="Arial" w:cs="Arial"/>
          <w:color w:val="000000"/>
          <w:sz w:val="20"/>
          <w:szCs w:val="20"/>
        </w:rPr>
        <w:t>RBI/2022-23/122</w:t>
      </w:r>
      <w:r>
        <w:rPr>
          <w:rFonts w:ascii="Arial" w:hAnsi="Arial" w:cs="Arial"/>
          <w:color w:val="000000"/>
          <w:sz w:val="20"/>
          <w:szCs w:val="20"/>
        </w:rPr>
        <w:br/>
        <w:t>A.P. (DIR Series) Circular No. 16</w:t>
      </w:r>
    </w:p>
    <w:p w:rsidR="000D141C" w:rsidRDefault="000D141C" w:rsidP="000D141C">
      <w:pPr>
        <w:pStyle w:val="NormalWeb"/>
        <w:jc w:val="right"/>
        <w:rPr>
          <w:rFonts w:ascii="Arial" w:hAnsi="Arial" w:cs="Arial"/>
          <w:color w:val="000000"/>
          <w:sz w:val="20"/>
          <w:szCs w:val="20"/>
        </w:rPr>
      </w:pPr>
      <w:r>
        <w:rPr>
          <w:rFonts w:ascii="Arial" w:hAnsi="Arial" w:cs="Arial"/>
          <w:color w:val="000000"/>
          <w:sz w:val="20"/>
          <w:szCs w:val="20"/>
        </w:rPr>
        <w:t>September 30, 2022</w:t>
      </w:r>
    </w:p>
    <w:p w:rsidR="000D141C" w:rsidRDefault="000D141C" w:rsidP="000D141C">
      <w:pPr>
        <w:pStyle w:val="NormalWeb"/>
        <w:jc w:val="both"/>
        <w:rPr>
          <w:rFonts w:ascii="Arial" w:hAnsi="Arial" w:cs="Arial"/>
          <w:color w:val="000000"/>
          <w:sz w:val="20"/>
          <w:szCs w:val="20"/>
        </w:rPr>
      </w:pPr>
      <w:r>
        <w:rPr>
          <w:rFonts w:ascii="Arial" w:hAnsi="Arial" w:cs="Arial"/>
          <w:color w:val="000000"/>
          <w:sz w:val="20"/>
          <w:szCs w:val="20"/>
        </w:rPr>
        <w:t>To</w:t>
      </w:r>
      <w:r>
        <w:rPr>
          <w:rFonts w:ascii="Arial" w:hAnsi="Arial" w:cs="Arial"/>
          <w:color w:val="000000"/>
          <w:sz w:val="20"/>
          <w:szCs w:val="20"/>
        </w:rPr>
        <w:br/>
        <w:t>All Category-I Authorised Dealer Banks</w:t>
      </w:r>
    </w:p>
    <w:p w:rsidR="000D141C" w:rsidRDefault="000D141C" w:rsidP="000D141C">
      <w:pPr>
        <w:pStyle w:val="NormalWeb"/>
        <w:jc w:val="both"/>
        <w:rPr>
          <w:rFonts w:ascii="Arial" w:hAnsi="Arial" w:cs="Arial"/>
          <w:color w:val="000000"/>
          <w:sz w:val="20"/>
          <w:szCs w:val="20"/>
        </w:rPr>
      </w:pPr>
      <w:r>
        <w:rPr>
          <w:rFonts w:ascii="Arial" w:hAnsi="Arial" w:cs="Arial"/>
          <w:color w:val="000000"/>
          <w:sz w:val="20"/>
          <w:szCs w:val="20"/>
        </w:rPr>
        <w:t>Madam / Sir</w:t>
      </w:r>
    </w:p>
    <w:p w:rsidR="000D141C" w:rsidRDefault="000D141C" w:rsidP="000D141C">
      <w:pPr>
        <w:pStyle w:val="head"/>
        <w:jc w:val="center"/>
        <w:rPr>
          <w:rFonts w:ascii="Arial" w:hAnsi="Arial" w:cs="Arial"/>
          <w:b/>
          <w:bCs/>
          <w:color w:val="000000"/>
          <w:sz w:val="20"/>
          <w:szCs w:val="20"/>
        </w:rPr>
      </w:pPr>
      <w:r>
        <w:rPr>
          <w:rFonts w:ascii="Arial" w:hAnsi="Arial" w:cs="Arial"/>
          <w:b/>
          <w:bCs/>
          <w:color w:val="000000"/>
          <w:sz w:val="20"/>
          <w:szCs w:val="20"/>
        </w:rPr>
        <w:t>Late Submission Fee for reporting delays under Foreign Exchange Management Act, 1999 (FEMA)</w:t>
      </w:r>
    </w:p>
    <w:p w:rsidR="000D141C" w:rsidRDefault="000D141C" w:rsidP="000D141C">
      <w:pPr>
        <w:pStyle w:val="NormalWeb"/>
        <w:jc w:val="both"/>
        <w:rPr>
          <w:rFonts w:ascii="Arial" w:hAnsi="Arial" w:cs="Arial"/>
          <w:color w:val="000000"/>
          <w:sz w:val="20"/>
          <w:szCs w:val="20"/>
        </w:rPr>
      </w:pPr>
      <w:r>
        <w:rPr>
          <w:rFonts w:ascii="Arial" w:hAnsi="Arial" w:cs="Arial"/>
          <w:color w:val="000000"/>
          <w:sz w:val="20"/>
          <w:szCs w:val="20"/>
        </w:rPr>
        <w:t>The Late Submission Fee (LSF) was introduced for reporting delays in Foreign Investment (FI), External Commercial Borrowings (ECBs) and Overseas Investment related transactions with effect from November 07, 2017, January 16, 2019 and August 22, 2022 respectively. It has now been decided to bring uniformity in imposition of LSF across functions. The following matrix shall be used henceforth for calculation of LSF, wherever applicable:</w:t>
      </w:r>
    </w:p>
    <w:tbl>
      <w:tblPr>
        <w:tblW w:w="44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6"/>
        <w:gridCol w:w="5344"/>
        <w:gridCol w:w="1885"/>
      </w:tblGrid>
      <w:tr w:rsidR="00467894" w:rsidTr="00467894">
        <w:tc>
          <w:tcPr>
            <w:tcW w:w="524" w:type="pct"/>
            <w:tcMar>
              <w:top w:w="0" w:type="dxa"/>
              <w:left w:w="45" w:type="dxa"/>
              <w:bottom w:w="0" w:type="dxa"/>
              <w:right w:w="45" w:type="dxa"/>
            </w:tcMar>
            <w:vAlign w:val="center"/>
            <w:hideMark/>
          </w:tcPr>
          <w:p w:rsidR="000D141C" w:rsidRDefault="000D141C">
            <w:pPr>
              <w:spacing w:line="240" w:lineRule="auto"/>
              <w:jc w:val="center"/>
              <w:rPr>
                <w:rFonts w:ascii="Arial" w:hAnsi="Arial" w:cs="Arial"/>
                <w:b/>
                <w:bCs/>
                <w:color w:val="000000"/>
                <w:sz w:val="20"/>
                <w:szCs w:val="20"/>
              </w:rPr>
            </w:pPr>
            <w:r>
              <w:rPr>
                <w:rFonts w:ascii="Arial" w:hAnsi="Arial" w:cs="Arial"/>
                <w:b/>
                <w:bCs/>
                <w:color w:val="000000"/>
                <w:sz w:val="20"/>
                <w:szCs w:val="20"/>
              </w:rPr>
              <w:t>Sr. No.</w:t>
            </w:r>
          </w:p>
        </w:tc>
        <w:tc>
          <w:tcPr>
            <w:tcW w:w="3309" w:type="pct"/>
            <w:tcMar>
              <w:top w:w="0" w:type="dxa"/>
              <w:left w:w="45" w:type="dxa"/>
              <w:bottom w:w="0" w:type="dxa"/>
              <w:right w:w="45" w:type="dxa"/>
            </w:tcMar>
            <w:vAlign w:val="center"/>
            <w:hideMark/>
          </w:tcPr>
          <w:p w:rsidR="000D141C" w:rsidRDefault="000D141C">
            <w:pPr>
              <w:jc w:val="center"/>
              <w:rPr>
                <w:rFonts w:ascii="Arial" w:hAnsi="Arial" w:cs="Arial"/>
                <w:b/>
                <w:bCs/>
                <w:color w:val="000000"/>
                <w:sz w:val="20"/>
                <w:szCs w:val="20"/>
              </w:rPr>
            </w:pPr>
            <w:r>
              <w:rPr>
                <w:rFonts w:ascii="Arial" w:hAnsi="Arial" w:cs="Arial"/>
                <w:b/>
                <w:bCs/>
                <w:color w:val="000000"/>
                <w:sz w:val="20"/>
                <w:szCs w:val="20"/>
              </w:rPr>
              <w:t>Type of Reporting delays</w:t>
            </w:r>
          </w:p>
        </w:tc>
        <w:tc>
          <w:tcPr>
            <w:tcW w:w="1167" w:type="pct"/>
            <w:tcMar>
              <w:top w:w="0" w:type="dxa"/>
              <w:left w:w="45" w:type="dxa"/>
              <w:bottom w:w="0" w:type="dxa"/>
              <w:right w:w="45" w:type="dxa"/>
            </w:tcMar>
            <w:vAlign w:val="center"/>
            <w:hideMark/>
          </w:tcPr>
          <w:p w:rsidR="000D141C" w:rsidRDefault="000D141C">
            <w:pPr>
              <w:jc w:val="center"/>
              <w:rPr>
                <w:rFonts w:ascii="Arial" w:hAnsi="Arial" w:cs="Arial"/>
                <w:b/>
                <w:bCs/>
                <w:color w:val="000000"/>
                <w:sz w:val="20"/>
                <w:szCs w:val="20"/>
              </w:rPr>
            </w:pPr>
            <w:r>
              <w:rPr>
                <w:rFonts w:ascii="Arial" w:hAnsi="Arial" w:cs="Arial"/>
                <w:b/>
                <w:bCs/>
                <w:color w:val="000000"/>
                <w:sz w:val="20"/>
                <w:szCs w:val="20"/>
              </w:rPr>
              <w:t>LSF Amount (INR)</w:t>
            </w:r>
          </w:p>
        </w:tc>
      </w:tr>
      <w:tr w:rsidR="00467894" w:rsidTr="00467894">
        <w:tc>
          <w:tcPr>
            <w:tcW w:w="524" w:type="pct"/>
            <w:tcMar>
              <w:top w:w="0" w:type="dxa"/>
              <w:left w:w="45" w:type="dxa"/>
              <w:bottom w:w="0" w:type="dxa"/>
              <w:right w:w="45" w:type="dxa"/>
            </w:tcMar>
            <w:vAlign w:val="center"/>
            <w:hideMark/>
          </w:tcPr>
          <w:p w:rsidR="000D141C" w:rsidRDefault="000D141C">
            <w:pPr>
              <w:jc w:val="center"/>
              <w:rPr>
                <w:rFonts w:ascii="Arial" w:hAnsi="Arial" w:cs="Arial"/>
                <w:color w:val="000000"/>
                <w:sz w:val="20"/>
                <w:szCs w:val="20"/>
              </w:rPr>
            </w:pPr>
            <w:r>
              <w:rPr>
                <w:rFonts w:ascii="Arial" w:hAnsi="Arial" w:cs="Arial"/>
                <w:color w:val="000000"/>
                <w:sz w:val="20"/>
                <w:szCs w:val="20"/>
              </w:rPr>
              <w:t>1</w:t>
            </w:r>
          </w:p>
        </w:tc>
        <w:tc>
          <w:tcPr>
            <w:tcW w:w="3309" w:type="pct"/>
            <w:tcMar>
              <w:top w:w="0" w:type="dxa"/>
              <w:left w:w="45" w:type="dxa"/>
              <w:bottom w:w="0" w:type="dxa"/>
              <w:right w:w="45" w:type="dxa"/>
            </w:tcMar>
            <w:vAlign w:val="center"/>
            <w:hideMark/>
          </w:tcPr>
          <w:p w:rsidR="000D141C" w:rsidRDefault="000D141C">
            <w:pPr>
              <w:jc w:val="both"/>
              <w:rPr>
                <w:rFonts w:ascii="Arial" w:hAnsi="Arial" w:cs="Arial"/>
                <w:color w:val="000000"/>
                <w:sz w:val="20"/>
                <w:szCs w:val="20"/>
              </w:rPr>
            </w:pPr>
            <w:r>
              <w:rPr>
                <w:rFonts w:ascii="Arial" w:hAnsi="Arial" w:cs="Arial"/>
                <w:color w:val="000000"/>
                <w:sz w:val="20"/>
                <w:szCs w:val="20"/>
              </w:rPr>
              <w:t>Form ODI Part-II/ APR, FCGPR (B), FLA Returns, Form OPI, evidence of investment or any other return which does not capture flows or any other periodical reporting</w:t>
            </w:r>
          </w:p>
        </w:tc>
        <w:tc>
          <w:tcPr>
            <w:tcW w:w="1167" w:type="pct"/>
            <w:tcMar>
              <w:top w:w="0" w:type="dxa"/>
              <w:left w:w="45" w:type="dxa"/>
              <w:bottom w:w="0" w:type="dxa"/>
              <w:right w:w="45" w:type="dxa"/>
            </w:tcMar>
            <w:vAlign w:val="center"/>
            <w:hideMark/>
          </w:tcPr>
          <w:p w:rsidR="000D141C" w:rsidRDefault="000D141C">
            <w:pPr>
              <w:jc w:val="center"/>
              <w:rPr>
                <w:rFonts w:ascii="Arial" w:hAnsi="Arial" w:cs="Arial"/>
                <w:color w:val="000000"/>
                <w:sz w:val="20"/>
                <w:szCs w:val="20"/>
              </w:rPr>
            </w:pPr>
            <w:r>
              <w:rPr>
                <w:rFonts w:ascii="Arial" w:hAnsi="Arial" w:cs="Arial"/>
                <w:color w:val="000000"/>
                <w:sz w:val="20"/>
                <w:szCs w:val="20"/>
              </w:rPr>
              <w:t>7500</w:t>
            </w:r>
          </w:p>
        </w:tc>
      </w:tr>
      <w:tr w:rsidR="00467894" w:rsidTr="00467894">
        <w:tc>
          <w:tcPr>
            <w:tcW w:w="524" w:type="pct"/>
            <w:tcMar>
              <w:top w:w="0" w:type="dxa"/>
              <w:left w:w="45" w:type="dxa"/>
              <w:bottom w:w="0" w:type="dxa"/>
              <w:right w:w="45" w:type="dxa"/>
            </w:tcMar>
            <w:vAlign w:val="center"/>
            <w:hideMark/>
          </w:tcPr>
          <w:p w:rsidR="000D141C" w:rsidRDefault="000D141C">
            <w:pPr>
              <w:jc w:val="center"/>
              <w:rPr>
                <w:rFonts w:ascii="Arial" w:hAnsi="Arial" w:cs="Arial"/>
                <w:color w:val="000000"/>
                <w:sz w:val="20"/>
                <w:szCs w:val="20"/>
              </w:rPr>
            </w:pPr>
            <w:r>
              <w:rPr>
                <w:rFonts w:ascii="Arial" w:hAnsi="Arial" w:cs="Arial"/>
                <w:color w:val="000000"/>
                <w:sz w:val="20"/>
                <w:szCs w:val="20"/>
              </w:rPr>
              <w:t>2</w:t>
            </w:r>
          </w:p>
        </w:tc>
        <w:tc>
          <w:tcPr>
            <w:tcW w:w="3309" w:type="pct"/>
            <w:tcMar>
              <w:top w:w="0" w:type="dxa"/>
              <w:left w:w="45" w:type="dxa"/>
              <w:bottom w:w="0" w:type="dxa"/>
              <w:right w:w="45" w:type="dxa"/>
            </w:tcMar>
            <w:vAlign w:val="center"/>
            <w:hideMark/>
          </w:tcPr>
          <w:p w:rsidR="000D141C" w:rsidRDefault="000D141C">
            <w:pPr>
              <w:jc w:val="both"/>
              <w:rPr>
                <w:rFonts w:ascii="Arial" w:hAnsi="Arial" w:cs="Arial"/>
                <w:color w:val="000000"/>
                <w:sz w:val="20"/>
                <w:szCs w:val="20"/>
              </w:rPr>
            </w:pPr>
            <w:r>
              <w:rPr>
                <w:rFonts w:ascii="Arial" w:hAnsi="Arial" w:cs="Arial"/>
                <w:color w:val="000000"/>
                <w:sz w:val="20"/>
                <w:szCs w:val="20"/>
              </w:rPr>
              <w:t xml:space="preserve">FC-GPR, FCTRS, Form ESOP, Form LLP(I), Form LLP(II), Form CN, Form DI, Form </w:t>
            </w:r>
            <w:proofErr w:type="spellStart"/>
            <w:r>
              <w:rPr>
                <w:rFonts w:ascii="Arial" w:hAnsi="Arial" w:cs="Arial"/>
                <w:color w:val="000000"/>
                <w:sz w:val="20"/>
                <w:szCs w:val="20"/>
              </w:rPr>
              <w:t>InVi</w:t>
            </w:r>
            <w:proofErr w:type="spellEnd"/>
            <w:r>
              <w:rPr>
                <w:rFonts w:ascii="Arial" w:hAnsi="Arial" w:cs="Arial"/>
                <w:color w:val="000000"/>
                <w:sz w:val="20"/>
                <w:szCs w:val="20"/>
              </w:rPr>
              <w:t>, Form ODI-Part I, Form ODI-Part III, Form FC, Form ECB, Form ECB-2, Revised Form ECB or any other return which captures flows or returns which capture reporting of non-fund transactions or any other transactional reporting</w:t>
            </w:r>
          </w:p>
        </w:tc>
        <w:tc>
          <w:tcPr>
            <w:tcW w:w="1167" w:type="pct"/>
            <w:tcMar>
              <w:top w:w="0" w:type="dxa"/>
              <w:left w:w="45" w:type="dxa"/>
              <w:bottom w:w="0" w:type="dxa"/>
              <w:right w:w="45" w:type="dxa"/>
            </w:tcMar>
            <w:vAlign w:val="center"/>
            <w:hideMark/>
          </w:tcPr>
          <w:p w:rsidR="000D141C" w:rsidRDefault="000D141C">
            <w:pPr>
              <w:jc w:val="center"/>
              <w:rPr>
                <w:rFonts w:ascii="Arial" w:hAnsi="Arial" w:cs="Arial"/>
                <w:color w:val="000000"/>
                <w:sz w:val="20"/>
                <w:szCs w:val="20"/>
              </w:rPr>
            </w:pPr>
            <w:r>
              <w:rPr>
                <w:rFonts w:ascii="Arial" w:hAnsi="Arial" w:cs="Arial"/>
                <w:color w:val="000000"/>
                <w:sz w:val="20"/>
                <w:szCs w:val="20"/>
              </w:rPr>
              <w:t>[7500 + (0.025% × A × n)]</w:t>
            </w:r>
          </w:p>
        </w:tc>
      </w:tr>
    </w:tbl>
    <w:p w:rsidR="000D141C" w:rsidRDefault="000D141C" w:rsidP="000D141C">
      <w:pPr>
        <w:pStyle w:val="NormalWeb"/>
        <w:jc w:val="both"/>
        <w:rPr>
          <w:rFonts w:ascii="Arial" w:hAnsi="Arial" w:cs="Arial"/>
          <w:color w:val="000000"/>
          <w:sz w:val="20"/>
          <w:szCs w:val="20"/>
        </w:rPr>
      </w:pPr>
      <w:r>
        <w:rPr>
          <w:rFonts w:ascii="Arial" w:hAnsi="Arial" w:cs="Arial"/>
          <w:color w:val="000000"/>
          <w:sz w:val="20"/>
          <w:szCs w:val="20"/>
        </w:rPr>
        <w:t>2. The above provisions shall come into effect immediately for the delayed filings made on or after the date of this circular.</w:t>
      </w:r>
    </w:p>
    <w:p w:rsidR="000D141C" w:rsidRDefault="000D141C" w:rsidP="000D141C">
      <w:pPr>
        <w:pStyle w:val="NormalWeb"/>
        <w:jc w:val="both"/>
        <w:rPr>
          <w:rFonts w:ascii="Arial" w:hAnsi="Arial" w:cs="Arial"/>
          <w:color w:val="000000"/>
          <w:sz w:val="20"/>
          <w:szCs w:val="20"/>
        </w:rPr>
      </w:pPr>
      <w:r>
        <w:rPr>
          <w:rFonts w:ascii="Arial" w:hAnsi="Arial" w:cs="Arial"/>
          <w:color w:val="000000"/>
          <w:sz w:val="20"/>
          <w:szCs w:val="20"/>
        </w:rPr>
        <w:t xml:space="preserve">3. All other provisions of reporting under FEMA remain unchanged. AD Category - I </w:t>
      </w:r>
      <w:proofErr w:type="gramStart"/>
      <w:r>
        <w:rPr>
          <w:rFonts w:ascii="Arial" w:hAnsi="Arial" w:cs="Arial"/>
          <w:color w:val="000000"/>
          <w:sz w:val="20"/>
          <w:szCs w:val="20"/>
        </w:rPr>
        <w:t>banks</w:t>
      </w:r>
      <w:proofErr w:type="gramEnd"/>
      <w:r>
        <w:rPr>
          <w:rFonts w:ascii="Arial" w:hAnsi="Arial" w:cs="Arial"/>
          <w:color w:val="000000"/>
          <w:sz w:val="20"/>
          <w:szCs w:val="20"/>
        </w:rPr>
        <w:t xml:space="preserve"> should bring the contents of this circular to the notice of their constituents and customers.</w:t>
      </w:r>
    </w:p>
    <w:p w:rsidR="000D141C" w:rsidRDefault="000D141C" w:rsidP="000D141C">
      <w:pPr>
        <w:pStyle w:val="NormalWeb"/>
        <w:jc w:val="both"/>
        <w:rPr>
          <w:rFonts w:ascii="Arial" w:hAnsi="Arial" w:cs="Arial"/>
          <w:color w:val="000000"/>
          <w:sz w:val="20"/>
          <w:szCs w:val="20"/>
        </w:rPr>
      </w:pPr>
      <w:r>
        <w:rPr>
          <w:rFonts w:ascii="Arial" w:hAnsi="Arial" w:cs="Arial"/>
          <w:color w:val="000000"/>
          <w:sz w:val="20"/>
          <w:szCs w:val="20"/>
        </w:rPr>
        <w:t>4. The ‘</w:t>
      </w:r>
      <w:hyperlink r:id="rId47" w:tgtFrame="_blank" w:history="1">
        <w:r>
          <w:rPr>
            <w:rStyle w:val="Hyperlink"/>
            <w:rFonts w:ascii="Arial" w:hAnsi="Arial" w:cs="Arial"/>
            <w:sz w:val="20"/>
            <w:szCs w:val="20"/>
          </w:rPr>
          <w:t>Master Direction – Reporting under Foreign Exchange Management Act, 1999</w:t>
        </w:r>
      </w:hyperlink>
      <w:r>
        <w:rPr>
          <w:rFonts w:ascii="Arial" w:hAnsi="Arial" w:cs="Arial"/>
          <w:color w:val="000000"/>
          <w:sz w:val="20"/>
          <w:szCs w:val="20"/>
        </w:rPr>
        <w:t>’ and ‘</w:t>
      </w:r>
      <w:hyperlink r:id="rId48" w:tgtFrame="_blank" w:history="1">
        <w:r>
          <w:rPr>
            <w:rStyle w:val="Hyperlink"/>
            <w:rFonts w:ascii="Arial" w:hAnsi="Arial" w:cs="Arial"/>
            <w:sz w:val="20"/>
            <w:szCs w:val="20"/>
          </w:rPr>
          <w:t>Master Direction - External Commercial Borrowings, Trade Credits and Structured Obligations</w:t>
        </w:r>
      </w:hyperlink>
      <w:r>
        <w:rPr>
          <w:rFonts w:ascii="Arial" w:hAnsi="Arial" w:cs="Arial"/>
          <w:color w:val="000000"/>
          <w:sz w:val="20"/>
          <w:szCs w:val="20"/>
        </w:rPr>
        <w:t>’ are being updated to reflect the changes.</w:t>
      </w:r>
    </w:p>
    <w:p w:rsidR="000D141C" w:rsidRDefault="000D141C" w:rsidP="00467894">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0D141C" w:rsidRDefault="000D141C" w:rsidP="00467894">
      <w:pPr>
        <w:pStyle w:val="NormalWeb"/>
        <w:rPr>
          <w:rFonts w:ascii="Arial" w:hAnsi="Arial" w:cs="Arial"/>
          <w:color w:val="000000"/>
          <w:sz w:val="20"/>
          <w:szCs w:val="20"/>
        </w:rPr>
      </w:pPr>
      <w:r>
        <w:rPr>
          <w:rFonts w:ascii="Arial" w:hAnsi="Arial" w:cs="Arial"/>
          <w:color w:val="000000"/>
          <w:sz w:val="20"/>
          <w:szCs w:val="20"/>
        </w:rPr>
        <w:t xml:space="preserve">Ajay Kumar </w:t>
      </w:r>
      <w:proofErr w:type="spellStart"/>
      <w:r>
        <w:rPr>
          <w:rFonts w:ascii="Arial" w:hAnsi="Arial" w:cs="Arial"/>
          <w:color w:val="000000"/>
          <w:sz w:val="20"/>
          <w:szCs w:val="20"/>
        </w:rPr>
        <w:t>Misra</w:t>
      </w:r>
      <w:proofErr w:type="spellEnd"/>
      <w:r>
        <w:rPr>
          <w:rFonts w:ascii="Arial" w:hAnsi="Arial" w:cs="Arial"/>
          <w:color w:val="000000"/>
          <w:sz w:val="20"/>
          <w:szCs w:val="20"/>
        </w:rPr>
        <w:br/>
        <w:t>Chief General Manager-in-Charge</w:t>
      </w:r>
    </w:p>
    <w:p w:rsidR="000D141C" w:rsidRDefault="000D141C" w:rsidP="009F305B">
      <w:pPr>
        <w:spacing w:after="0"/>
        <w:rPr>
          <w:rFonts w:ascii="Arial" w:hAnsi="Arial" w:cs="Arial"/>
          <w:b/>
          <w:bCs/>
          <w:color w:val="000000"/>
          <w:sz w:val="20"/>
          <w:szCs w:val="20"/>
        </w:rPr>
      </w:pPr>
    </w:p>
    <w:p w:rsidR="000D141C" w:rsidRDefault="000D141C" w:rsidP="009F305B">
      <w:pPr>
        <w:spacing w:after="0"/>
        <w:rPr>
          <w:rFonts w:ascii="Arial" w:hAnsi="Arial" w:cs="Arial"/>
          <w:b/>
          <w:bCs/>
          <w:color w:val="000000"/>
          <w:sz w:val="20"/>
          <w:szCs w:val="20"/>
        </w:rPr>
      </w:pPr>
    </w:p>
    <w:p w:rsidR="00467894" w:rsidRPr="00435B25" w:rsidRDefault="00467894" w:rsidP="00467894">
      <w:pPr>
        <w:spacing w:after="0"/>
        <w:rPr>
          <w:rFonts w:ascii="Arial" w:hAnsi="Arial" w:cs="Arial"/>
          <w:sz w:val="20"/>
          <w:szCs w:val="20"/>
        </w:rPr>
      </w:pPr>
      <w:r w:rsidRPr="00435B25">
        <w:rPr>
          <w:rFonts w:ascii="Arial" w:hAnsi="Arial" w:cs="Arial"/>
          <w:sz w:val="20"/>
          <w:szCs w:val="20"/>
        </w:rPr>
        <w:t>More details can be referred to in the below link.</w:t>
      </w:r>
    </w:p>
    <w:p w:rsidR="000D141C" w:rsidRDefault="00467894" w:rsidP="00467894">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49" w:history="1">
        <w:r w:rsidRPr="009517FA">
          <w:rPr>
            <w:rStyle w:val="Hyperlink"/>
            <w:rFonts w:ascii="Arial" w:hAnsi="Arial" w:cs="Arial"/>
            <w:sz w:val="20"/>
            <w:szCs w:val="20"/>
          </w:rPr>
          <w:t>https://www.rbi.org.in/scripts/NotificationUser.aspx?Id=12393&amp;Mode=0</w:t>
        </w:r>
      </w:hyperlink>
    </w:p>
    <w:p w:rsidR="00467894" w:rsidRDefault="00467894" w:rsidP="009F305B">
      <w:pPr>
        <w:spacing w:after="0"/>
        <w:rPr>
          <w:rFonts w:ascii="Arial" w:hAnsi="Arial" w:cs="Arial"/>
          <w:b/>
          <w:bCs/>
          <w:color w:val="000000"/>
          <w:sz w:val="20"/>
          <w:szCs w:val="20"/>
        </w:rPr>
      </w:pPr>
    </w:p>
    <w:p w:rsidR="00C0370F" w:rsidRDefault="00C0370F" w:rsidP="00C0370F">
      <w:pPr>
        <w:spacing w:line="259" w:lineRule="auto"/>
        <w:rPr>
          <w:rFonts w:ascii="Arial" w:hAnsi="Arial" w:cs="Arial"/>
          <w:b/>
          <w:bCs/>
          <w:color w:val="000000"/>
          <w:sz w:val="20"/>
          <w:szCs w:val="20"/>
        </w:rPr>
      </w:pPr>
      <w:r>
        <w:rPr>
          <w:rFonts w:ascii="Arial" w:hAnsi="Arial" w:cs="Arial"/>
          <w:b/>
          <w:bCs/>
          <w:color w:val="000000"/>
          <w:sz w:val="20"/>
          <w:szCs w:val="20"/>
        </w:rPr>
        <w:lastRenderedPageBreak/>
        <w:t>Reserve Bank of India (Unhedged Foreign Currency Exposure) Directions, 2022</w:t>
      </w:r>
    </w:p>
    <w:p w:rsidR="00C0370F" w:rsidRDefault="00C0370F" w:rsidP="00C0370F">
      <w:pPr>
        <w:pStyle w:val="NormalWeb"/>
        <w:jc w:val="both"/>
        <w:rPr>
          <w:rFonts w:ascii="Arial" w:hAnsi="Arial" w:cs="Arial"/>
          <w:color w:val="000000"/>
          <w:sz w:val="20"/>
          <w:szCs w:val="20"/>
        </w:rPr>
      </w:pPr>
      <w:r>
        <w:rPr>
          <w:rFonts w:ascii="Arial" w:hAnsi="Arial" w:cs="Arial"/>
          <w:color w:val="000000"/>
          <w:sz w:val="20"/>
          <w:szCs w:val="20"/>
        </w:rPr>
        <w:t>RBI/2022-23/131</w:t>
      </w:r>
      <w:r>
        <w:rPr>
          <w:rFonts w:ascii="Arial" w:hAnsi="Arial" w:cs="Arial"/>
          <w:color w:val="000000"/>
          <w:sz w:val="20"/>
          <w:szCs w:val="20"/>
        </w:rPr>
        <w:br/>
        <w:t>DOR.MRG.REC.76/00-00-007/2022-23</w:t>
      </w:r>
    </w:p>
    <w:p w:rsidR="00C0370F" w:rsidRDefault="00C0370F" w:rsidP="00C0370F">
      <w:pPr>
        <w:pStyle w:val="NormalWeb"/>
        <w:jc w:val="right"/>
        <w:rPr>
          <w:rFonts w:ascii="Arial" w:hAnsi="Arial" w:cs="Arial"/>
          <w:color w:val="000000"/>
          <w:sz w:val="20"/>
          <w:szCs w:val="20"/>
        </w:rPr>
      </w:pPr>
      <w:r>
        <w:rPr>
          <w:rFonts w:ascii="Arial" w:hAnsi="Arial" w:cs="Arial"/>
          <w:color w:val="000000"/>
          <w:sz w:val="20"/>
          <w:szCs w:val="20"/>
        </w:rPr>
        <w:t>October 11, 2022</w:t>
      </w:r>
    </w:p>
    <w:p w:rsidR="00C0370F" w:rsidRDefault="00C0370F" w:rsidP="00C0370F">
      <w:pPr>
        <w:pStyle w:val="NormalWeb"/>
        <w:jc w:val="both"/>
        <w:rPr>
          <w:rFonts w:ascii="Arial" w:hAnsi="Arial" w:cs="Arial"/>
          <w:color w:val="000000"/>
          <w:sz w:val="20"/>
          <w:szCs w:val="20"/>
        </w:rPr>
      </w:pPr>
      <w:r>
        <w:rPr>
          <w:rFonts w:ascii="Arial" w:hAnsi="Arial" w:cs="Arial"/>
          <w:color w:val="000000"/>
          <w:sz w:val="20"/>
          <w:szCs w:val="20"/>
        </w:rPr>
        <w:t>Dear Sir / Madam,</w:t>
      </w:r>
    </w:p>
    <w:p w:rsidR="00C0370F" w:rsidRDefault="00C0370F" w:rsidP="00C0370F">
      <w:pPr>
        <w:pStyle w:val="head"/>
        <w:jc w:val="both"/>
        <w:rPr>
          <w:rFonts w:ascii="Arial" w:hAnsi="Arial" w:cs="Arial"/>
          <w:b/>
          <w:bCs/>
          <w:color w:val="000000"/>
          <w:sz w:val="20"/>
          <w:szCs w:val="20"/>
        </w:rPr>
      </w:pPr>
      <w:r>
        <w:rPr>
          <w:rFonts w:ascii="Arial" w:hAnsi="Arial" w:cs="Arial"/>
          <w:b/>
          <w:bCs/>
          <w:color w:val="000000"/>
          <w:sz w:val="20"/>
          <w:szCs w:val="20"/>
        </w:rPr>
        <w:t>Reserve Bank of India (Unhedged Foreign Currency Exposure) Directions, 2022</w:t>
      </w:r>
    </w:p>
    <w:p w:rsidR="00C0370F" w:rsidRDefault="00C0370F" w:rsidP="00C0370F">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several guidelines / instructions / directives to the banks on Unhedged Foreign Currency Exposure (UFCE) of the entities which have borrowed from banks.</w:t>
      </w:r>
    </w:p>
    <w:p w:rsidR="00C0370F" w:rsidRDefault="00C0370F" w:rsidP="00C0370F">
      <w:pPr>
        <w:pStyle w:val="NormalWeb"/>
        <w:jc w:val="both"/>
        <w:rPr>
          <w:rFonts w:ascii="Arial" w:hAnsi="Arial" w:cs="Arial"/>
          <w:color w:val="000000"/>
          <w:sz w:val="20"/>
          <w:szCs w:val="20"/>
        </w:rPr>
      </w:pPr>
      <w:r>
        <w:rPr>
          <w:rFonts w:ascii="Arial" w:hAnsi="Arial" w:cs="Arial"/>
          <w:color w:val="000000"/>
          <w:sz w:val="20"/>
          <w:szCs w:val="20"/>
        </w:rPr>
        <w:t>2. We have received references from banks seeking clarification on various aspects including inter-alia clarity in the definition of ‘entities’ for which banks shall assess UFCE, exempted exposures / entities, alternative method for smaller entities, assessment of UFCE of entities incorporated outside India by overseas subsidiaries / branches of Indian banks etc.</w:t>
      </w:r>
    </w:p>
    <w:p w:rsidR="00C0370F" w:rsidRDefault="00C0370F" w:rsidP="00C0370F">
      <w:pPr>
        <w:pStyle w:val="NormalWeb"/>
        <w:jc w:val="both"/>
        <w:rPr>
          <w:rFonts w:ascii="Arial" w:hAnsi="Arial" w:cs="Arial"/>
          <w:color w:val="000000"/>
          <w:sz w:val="20"/>
          <w:szCs w:val="20"/>
        </w:rPr>
      </w:pPr>
      <w:r>
        <w:rPr>
          <w:rFonts w:ascii="Arial" w:hAnsi="Arial" w:cs="Arial"/>
          <w:color w:val="000000"/>
          <w:sz w:val="20"/>
          <w:szCs w:val="20"/>
        </w:rPr>
        <w:t>3. Accordingly, a comprehensive review of the extant guidelines has been undertaken and all the existing instructions on the subject including the revisions / clarifications on the issues stated above have been consolidated in the </w:t>
      </w:r>
      <w:hyperlink r:id="rId50" w:anchor="DI77" w:history="1">
        <w:r>
          <w:rPr>
            <w:rStyle w:val="Hyperlink"/>
            <w:rFonts w:ascii="Arial" w:hAnsi="Arial" w:cs="Arial"/>
            <w:sz w:val="20"/>
            <w:szCs w:val="20"/>
          </w:rPr>
          <w:t>Directions enclosed</w:t>
        </w:r>
      </w:hyperlink>
      <w:r>
        <w:rPr>
          <w:rFonts w:ascii="Arial" w:hAnsi="Arial" w:cs="Arial"/>
          <w:color w:val="000000"/>
          <w:sz w:val="20"/>
          <w:szCs w:val="20"/>
        </w:rPr>
        <w:t> herewith. An </w:t>
      </w:r>
      <w:hyperlink r:id="rId51" w:anchor="EN" w:history="1">
        <w:r>
          <w:rPr>
            <w:rStyle w:val="Hyperlink"/>
            <w:rFonts w:ascii="Arial" w:hAnsi="Arial" w:cs="Arial"/>
            <w:sz w:val="20"/>
            <w:szCs w:val="20"/>
          </w:rPr>
          <w:t>Explanatory Note</w:t>
        </w:r>
      </w:hyperlink>
      <w:r>
        <w:rPr>
          <w:rFonts w:ascii="Arial" w:hAnsi="Arial" w:cs="Arial"/>
          <w:color w:val="000000"/>
          <w:sz w:val="20"/>
          <w:szCs w:val="20"/>
        </w:rPr>
        <w:t> providing the background for these Directions is also enclosed.</w:t>
      </w:r>
    </w:p>
    <w:p w:rsidR="00C0370F" w:rsidRDefault="00C0370F" w:rsidP="00C0370F">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C0370F" w:rsidRDefault="00C0370F" w:rsidP="00C0370F">
      <w:pPr>
        <w:pStyle w:val="NormalWeb"/>
        <w:jc w:val="both"/>
        <w:rPr>
          <w:rFonts w:ascii="Arial" w:hAnsi="Arial" w:cs="Arial"/>
          <w:color w:val="000000"/>
          <w:sz w:val="20"/>
          <w:szCs w:val="20"/>
        </w:rPr>
      </w:pPr>
      <w:r>
        <w:rPr>
          <w:rFonts w:ascii="Arial" w:hAnsi="Arial" w:cs="Arial"/>
          <w:color w:val="000000"/>
          <w:sz w:val="20"/>
          <w:szCs w:val="20"/>
        </w:rPr>
        <w:t>4. This circular is applicable to all commercial banks (excluding Payments Banks and Regional Rural Banks).</w:t>
      </w:r>
    </w:p>
    <w:p w:rsidR="00C0370F" w:rsidRDefault="00C0370F" w:rsidP="00C0370F">
      <w:pPr>
        <w:pStyle w:val="NormalWeb"/>
        <w:jc w:val="both"/>
        <w:rPr>
          <w:rFonts w:ascii="Arial" w:hAnsi="Arial" w:cs="Arial"/>
          <w:color w:val="000000"/>
          <w:sz w:val="20"/>
          <w:szCs w:val="20"/>
        </w:rPr>
      </w:pPr>
      <w:r>
        <w:rPr>
          <w:rFonts w:ascii="Arial" w:hAnsi="Arial" w:cs="Arial"/>
          <w:color w:val="000000"/>
          <w:sz w:val="20"/>
          <w:szCs w:val="20"/>
        </w:rPr>
        <w:t>5. These instructions shall come into force from January 1, 2023.</w:t>
      </w:r>
    </w:p>
    <w:p w:rsidR="00C0370F" w:rsidRDefault="00C0370F" w:rsidP="00C0370F">
      <w:pPr>
        <w:pStyle w:val="NormalWeb"/>
        <w:jc w:val="both"/>
        <w:rPr>
          <w:rFonts w:ascii="Arial" w:hAnsi="Arial" w:cs="Arial"/>
          <w:color w:val="000000"/>
          <w:sz w:val="20"/>
          <w:szCs w:val="20"/>
        </w:rPr>
      </w:pPr>
      <w:r>
        <w:rPr>
          <w:rFonts w:ascii="Arial" w:hAnsi="Arial" w:cs="Arial"/>
          <w:color w:val="000000"/>
          <w:sz w:val="20"/>
          <w:szCs w:val="20"/>
        </w:rPr>
        <w:t>Yours faithfully,</w:t>
      </w:r>
    </w:p>
    <w:p w:rsidR="00C0370F" w:rsidRDefault="00C0370F" w:rsidP="00C0370F">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C0370F" w:rsidRDefault="00C0370F" w:rsidP="00C0370F">
      <w:pPr>
        <w:spacing w:line="259" w:lineRule="auto"/>
        <w:rPr>
          <w:rFonts w:ascii="Arial" w:hAnsi="Arial" w:cs="Arial"/>
          <w:sz w:val="20"/>
          <w:szCs w:val="20"/>
        </w:rPr>
      </w:pPr>
    </w:p>
    <w:p w:rsidR="00C0370F" w:rsidRDefault="00C0370F" w:rsidP="00C0370F">
      <w:pPr>
        <w:spacing w:line="259" w:lineRule="auto"/>
        <w:rPr>
          <w:rFonts w:ascii="Arial" w:hAnsi="Arial" w:cs="Arial"/>
          <w:sz w:val="20"/>
          <w:szCs w:val="20"/>
        </w:rPr>
      </w:pPr>
    </w:p>
    <w:p w:rsidR="00C0370F" w:rsidRDefault="00C0370F" w:rsidP="00C0370F">
      <w:r>
        <w:t>More details can be referred to in the below link.</w:t>
      </w:r>
    </w:p>
    <w:p w:rsidR="00C0370F" w:rsidRDefault="00C0370F" w:rsidP="00C0370F">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52" w:history="1">
        <w:r w:rsidRPr="009A1791">
          <w:rPr>
            <w:rStyle w:val="Hyperlink"/>
            <w:rFonts w:ascii="Arial" w:hAnsi="Arial" w:cs="Arial"/>
            <w:bCs/>
            <w:sz w:val="20"/>
            <w:szCs w:val="20"/>
          </w:rPr>
          <w:t>https://rbi.org.in/Scripts/NotificationUser.aspx?Id=12402&amp;Mode=0</w:t>
        </w:r>
      </w:hyperlink>
    </w:p>
    <w:p w:rsidR="00C0370F" w:rsidRDefault="00C0370F" w:rsidP="00C0370F">
      <w:pPr>
        <w:spacing w:line="259" w:lineRule="auto"/>
        <w:rPr>
          <w:rFonts w:ascii="Arial" w:hAnsi="Arial" w:cs="Arial"/>
          <w:sz w:val="20"/>
          <w:szCs w:val="20"/>
        </w:rPr>
      </w:pPr>
    </w:p>
    <w:p w:rsidR="00C0370F" w:rsidRDefault="00C0370F" w:rsidP="00C0370F">
      <w:pPr>
        <w:spacing w:line="259" w:lineRule="auto"/>
        <w:rPr>
          <w:rFonts w:ascii="Arial" w:hAnsi="Arial" w:cs="Arial"/>
          <w:sz w:val="20"/>
          <w:szCs w:val="20"/>
        </w:rPr>
      </w:pPr>
    </w:p>
    <w:p w:rsidR="00C0370F" w:rsidRDefault="00C0370F" w:rsidP="009F305B">
      <w:pPr>
        <w:spacing w:after="0"/>
        <w:rPr>
          <w:rFonts w:ascii="Arial" w:hAnsi="Arial" w:cs="Arial"/>
          <w:b/>
          <w:bCs/>
          <w:color w:val="000000"/>
          <w:sz w:val="20"/>
          <w:szCs w:val="20"/>
        </w:rPr>
      </w:pPr>
    </w:p>
    <w:p w:rsidR="00C0370F" w:rsidRDefault="00C0370F" w:rsidP="009F305B">
      <w:pPr>
        <w:spacing w:after="0"/>
        <w:rPr>
          <w:rFonts w:ascii="Arial" w:hAnsi="Arial" w:cs="Arial"/>
          <w:b/>
          <w:bCs/>
          <w:color w:val="000000"/>
          <w:sz w:val="20"/>
          <w:szCs w:val="20"/>
        </w:rPr>
      </w:pPr>
    </w:p>
    <w:p w:rsidR="00C0370F" w:rsidRDefault="00C0370F" w:rsidP="009F305B">
      <w:pPr>
        <w:spacing w:after="0"/>
        <w:rPr>
          <w:rFonts w:ascii="Arial" w:hAnsi="Arial" w:cs="Arial"/>
          <w:b/>
          <w:bCs/>
          <w:color w:val="000000"/>
          <w:sz w:val="20"/>
          <w:szCs w:val="20"/>
        </w:rPr>
      </w:pPr>
    </w:p>
    <w:p w:rsidR="00C0370F" w:rsidRDefault="00C0370F" w:rsidP="009F305B">
      <w:pPr>
        <w:spacing w:after="0"/>
        <w:rPr>
          <w:rFonts w:ascii="Arial" w:hAnsi="Arial" w:cs="Arial"/>
          <w:b/>
          <w:bCs/>
          <w:color w:val="000000"/>
          <w:sz w:val="20"/>
          <w:szCs w:val="20"/>
        </w:rPr>
      </w:pPr>
    </w:p>
    <w:p w:rsidR="00C0370F" w:rsidRDefault="00C0370F" w:rsidP="009F305B">
      <w:pPr>
        <w:spacing w:after="0"/>
        <w:rPr>
          <w:rFonts w:ascii="Arial" w:hAnsi="Arial" w:cs="Arial"/>
          <w:b/>
          <w:bCs/>
          <w:color w:val="000000"/>
          <w:sz w:val="20"/>
          <w:szCs w:val="20"/>
        </w:rPr>
      </w:pPr>
    </w:p>
    <w:p w:rsidR="00C0370F" w:rsidRDefault="00C0370F" w:rsidP="009F305B">
      <w:pPr>
        <w:spacing w:after="0"/>
        <w:rPr>
          <w:rFonts w:ascii="Arial" w:hAnsi="Arial" w:cs="Arial"/>
          <w:b/>
          <w:bCs/>
          <w:color w:val="000000"/>
          <w:sz w:val="20"/>
          <w:szCs w:val="20"/>
        </w:rPr>
      </w:pPr>
    </w:p>
    <w:p w:rsidR="00C0370F" w:rsidRDefault="00C0370F" w:rsidP="009F305B">
      <w:pPr>
        <w:spacing w:after="0"/>
        <w:rPr>
          <w:rFonts w:ascii="Arial" w:hAnsi="Arial" w:cs="Arial"/>
          <w:b/>
          <w:bCs/>
          <w:color w:val="000000"/>
          <w:sz w:val="20"/>
          <w:szCs w:val="20"/>
        </w:rPr>
      </w:pPr>
    </w:p>
    <w:p w:rsidR="00C0370F" w:rsidRDefault="00C0370F" w:rsidP="009F305B">
      <w:pPr>
        <w:spacing w:after="0"/>
        <w:rPr>
          <w:rFonts w:ascii="Arial" w:hAnsi="Arial" w:cs="Arial"/>
          <w:b/>
          <w:bCs/>
          <w:color w:val="000000"/>
          <w:sz w:val="20"/>
          <w:szCs w:val="20"/>
        </w:rPr>
      </w:pPr>
    </w:p>
    <w:p w:rsidR="00C0370F" w:rsidRDefault="00C0370F" w:rsidP="009F305B">
      <w:pPr>
        <w:spacing w:after="0"/>
        <w:rPr>
          <w:rFonts w:ascii="Arial" w:hAnsi="Arial" w:cs="Arial"/>
          <w:b/>
          <w:bCs/>
          <w:color w:val="000000"/>
          <w:sz w:val="20"/>
          <w:szCs w:val="20"/>
        </w:rPr>
      </w:pPr>
    </w:p>
    <w:p w:rsidR="009F305B" w:rsidRDefault="009F305B" w:rsidP="009F305B">
      <w:pPr>
        <w:spacing w:after="0"/>
        <w:rPr>
          <w:rFonts w:ascii="Arial" w:hAnsi="Arial" w:cs="Arial"/>
          <w:b/>
          <w:bCs/>
          <w:color w:val="000000"/>
          <w:sz w:val="20"/>
          <w:szCs w:val="20"/>
        </w:rPr>
      </w:pPr>
      <w:r>
        <w:rPr>
          <w:rFonts w:ascii="Arial" w:hAnsi="Arial" w:cs="Arial"/>
          <w:b/>
          <w:bCs/>
          <w:color w:val="000000"/>
          <w:sz w:val="20"/>
          <w:szCs w:val="20"/>
        </w:rPr>
        <w:lastRenderedPageBreak/>
        <w:t>Notification of Significant Benchmark</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RBI/2022-23/142</w:t>
      </w:r>
      <w:r>
        <w:rPr>
          <w:rFonts w:ascii="Arial" w:hAnsi="Arial" w:cs="Arial"/>
          <w:color w:val="000000"/>
          <w:sz w:val="20"/>
          <w:szCs w:val="20"/>
        </w:rPr>
        <w:br/>
        <w:t>FMRD.FMSD.06/03.07.25/2022-23</w:t>
      </w:r>
    </w:p>
    <w:p w:rsidR="005A38FC" w:rsidRDefault="005A38FC" w:rsidP="005A38FC">
      <w:pPr>
        <w:pStyle w:val="NormalWeb"/>
        <w:jc w:val="right"/>
        <w:rPr>
          <w:rFonts w:ascii="Arial" w:hAnsi="Arial" w:cs="Arial"/>
          <w:color w:val="000000"/>
          <w:sz w:val="20"/>
          <w:szCs w:val="20"/>
        </w:rPr>
      </w:pPr>
      <w:r>
        <w:rPr>
          <w:rFonts w:ascii="Arial" w:hAnsi="Arial" w:cs="Arial"/>
          <w:color w:val="000000"/>
          <w:sz w:val="20"/>
          <w:szCs w:val="20"/>
        </w:rPr>
        <w:t>December 01, 2022</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To</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All the Financial Benchmark Administrators</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Madam/Sir</w:t>
      </w:r>
    </w:p>
    <w:p w:rsidR="005A38FC" w:rsidRDefault="005A38FC" w:rsidP="005A38FC">
      <w:pPr>
        <w:pStyle w:val="head"/>
        <w:jc w:val="center"/>
        <w:rPr>
          <w:rFonts w:ascii="Arial" w:hAnsi="Arial" w:cs="Arial"/>
          <w:b/>
          <w:bCs/>
          <w:color w:val="000000"/>
          <w:sz w:val="20"/>
          <w:szCs w:val="20"/>
        </w:rPr>
      </w:pPr>
      <w:r>
        <w:rPr>
          <w:rFonts w:ascii="Arial" w:hAnsi="Arial" w:cs="Arial"/>
          <w:b/>
          <w:bCs/>
          <w:color w:val="000000"/>
          <w:sz w:val="20"/>
          <w:szCs w:val="20"/>
        </w:rPr>
        <w:t>Notification of Significant Benchmark</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53" w:tgtFrame="_blank" w:history="1">
        <w:r>
          <w:rPr>
            <w:rStyle w:val="Hyperlink"/>
            <w:rFonts w:ascii="Arial" w:hAnsi="Arial" w:cs="Arial"/>
            <w:sz w:val="20"/>
            <w:szCs w:val="20"/>
          </w:rPr>
          <w:t>Financial Benchmark Administrators (Reserve Bank) Directions, 2019 (hereinafter referred to as ‘the Directions’), dated June 26, 2019 </w:t>
        </w:r>
      </w:hyperlink>
      <w:r>
        <w:rPr>
          <w:rFonts w:ascii="Arial" w:hAnsi="Arial" w:cs="Arial"/>
          <w:color w:val="000000"/>
          <w:sz w:val="20"/>
          <w:szCs w:val="20"/>
        </w:rPr>
        <w:t>and </w:t>
      </w:r>
      <w:hyperlink r:id="rId54" w:tgtFrame="_blank" w:history="1">
        <w:r>
          <w:rPr>
            <w:rStyle w:val="Hyperlink"/>
            <w:rFonts w:ascii="Arial" w:hAnsi="Arial" w:cs="Arial"/>
            <w:sz w:val="20"/>
            <w:szCs w:val="20"/>
          </w:rPr>
          <w:t>RBI circular dated January 01, 2020</w:t>
        </w:r>
      </w:hyperlink>
      <w:r>
        <w:rPr>
          <w:rFonts w:ascii="Arial" w:hAnsi="Arial" w:cs="Arial"/>
          <w:color w:val="000000"/>
          <w:sz w:val="20"/>
          <w:szCs w:val="20"/>
        </w:rPr>
        <w:t xml:space="preserve">, notifying six financial benchmarks administered by Financial Benchmarks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(FBIL) as ‘significant benchmark’.</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2. In terms of paragraph 3(</w:t>
      </w:r>
      <w:proofErr w:type="spellStart"/>
      <w:r>
        <w:rPr>
          <w:rFonts w:ascii="Arial" w:hAnsi="Arial" w:cs="Arial"/>
          <w:color w:val="000000"/>
          <w:sz w:val="20"/>
          <w:szCs w:val="20"/>
        </w:rPr>
        <w:t>i</w:t>
      </w:r>
      <w:proofErr w:type="spellEnd"/>
      <w:r>
        <w:rPr>
          <w:rFonts w:ascii="Arial" w:hAnsi="Arial" w:cs="Arial"/>
          <w:color w:val="000000"/>
          <w:sz w:val="20"/>
          <w:szCs w:val="20"/>
        </w:rPr>
        <w:t xml:space="preserve">) of the Directions, the Reserve Bank hereby notifies Modified Mumbai Interbank Forward Outright Rate (MMIFOR) administered by Financial Benchmarks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(FBIL) as a ‘significant benchmark’.</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3. The updated list of ‘significant benchmarks’ administered by FBIL is given below:</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Overnight Mumbai Interbank Outright Rate (MIBOR)</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(ii) Mumbai Interbank Forward Outright Rate (MIFOR)</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(iii) USD/INR Reference Rate</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(iv) Treasury Bill Rates</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(v) Valuation of Government Securities</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(vi) Valuation of State Development Loans (SDL)</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(vii) Modified Mumbai Interbank Forward Outright Rate (MMIFOR)</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4. Further, in terms of paragraph 3(ii) of the Directions, the person administering the ‘significant benchmark’, shall make an application to the Reserve Bank within a period of three months from the date of this notification for authorization to continue administering MMIFOR.</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5. The MIFOR, administered by FBIL, shall continue to remain a ‘significant benchmark’ till further notice.</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6. This notification has been issued by the Reserve Bank as required under the </w:t>
      </w:r>
      <w:hyperlink r:id="rId55" w:tgtFrame="_blank" w:history="1">
        <w:r>
          <w:rPr>
            <w:rStyle w:val="Hyperlink"/>
            <w:rFonts w:ascii="Arial" w:hAnsi="Arial" w:cs="Arial"/>
            <w:sz w:val="20"/>
            <w:szCs w:val="20"/>
          </w:rPr>
          <w:t>Financial Benchmark Administrators (Reserve Bank) Directions, 2019, dated June 26, 2019</w:t>
        </w:r>
      </w:hyperlink>
      <w:r>
        <w:rPr>
          <w:rFonts w:ascii="Arial" w:hAnsi="Arial" w:cs="Arial"/>
          <w:color w:val="000000"/>
          <w:sz w:val="20"/>
          <w:szCs w:val="20"/>
        </w:rPr>
        <w:t>.</w:t>
      </w:r>
    </w:p>
    <w:p w:rsidR="005A38FC" w:rsidRDefault="005A38FC" w:rsidP="00F81595">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5A38FC" w:rsidRPr="00F81595" w:rsidRDefault="005A38FC" w:rsidP="00F81595">
      <w:pPr>
        <w:pStyle w:val="NormalWeb"/>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F81595" w:rsidRDefault="00F81595" w:rsidP="005A38FC">
      <w:pPr>
        <w:spacing w:after="0"/>
        <w:rPr>
          <w:rFonts w:ascii="Arial" w:hAnsi="Arial" w:cs="Arial"/>
          <w:sz w:val="20"/>
          <w:szCs w:val="20"/>
        </w:rPr>
      </w:pPr>
    </w:p>
    <w:p w:rsidR="005A38FC" w:rsidRPr="00435B25" w:rsidRDefault="005A38FC" w:rsidP="005A38FC">
      <w:pPr>
        <w:spacing w:after="0"/>
        <w:rPr>
          <w:rFonts w:ascii="Arial" w:hAnsi="Arial" w:cs="Arial"/>
          <w:sz w:val="20"/>
          <w:szCs w:val="20"/>
        </w:rPr>
      </w:pPr>
      <w:r w:rsidRPr="00435B25">
        <w:rPr>
          <w:rFonts w:ascii="Arial" w:hAnsi="Arial" w:cs="Arial"/>
          <w:sz w:val="20"/>
          <w:szCs w:val="20"/>
        </w:rPr>
        <w:t>More details can be referred to in the below link.</w:t>
      </w:r>
    </w:p>
    <w:p w:rsidR="005A38FC" w:rsidRDefault="005A38FC" w:rsidP="005A38FC">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56" w:anchor=":~:text=(FBIL)%20as%20a%20'significant%20benchmark'.&amp;text=4.,authorization%20to%20continue%20administering%20MMIFOR" w:history="1">
        <w:r w:rsidRPr="00200311">
          <w:rPr>
            <w:rStyle w:val="Hyperlink"/>
            <w:rFonts w:ascii="Arial" w:hAnsi="Arial" w:cs="Arial"/>
            <w:sz w:val="20"/>
            <w:szCs w:val="20"/>
          </w:rPr>
          <w:t>https://m.rbi.org.in/scripts/FS_Notification.aspx?Id=12414&amp;fn=6&amp;Mode=0#:~:text=(FBIL)%20as%20a%20'significant%20benchmark'.&amp;text=4.,authorization%20to%20continue%20administering%20MMIFOR</w:t>
        </w:r>
      </w:hyperlink>
      <w:r w:rsidRPr="005A38FC">
        <w:rPr>
          <w:rFonts w:ascii="Arial" w:hAnsi="Arial" w:cs="Arial"/>
          <w:sz w:val="20"/>
          <w:szCs w:val="20"/>
        </w:rPr>
        <w:t>.</w:t>
      </w:r>
    </w:p>
    <w:p w:rsidR="00F81595" w:rsidRDefault="00F81595" w:rsidP="005A38FC">
      <w:pPr>
        <w:spacing w:after="0"/>
        <w:rPr>
          <w:rFonts w:ascii="Arial" w:hAnsi="Arial" w:cs="Arial"/>
          <w:b/>
          <w:bCs/>
          <w:color w:val="000000"/>
          <w:sz w:val="20"/>
          <w:szCs w:val="20"/>
        </w:rPr>
      </w:pPr>
    </w:p>
    <w:p w:rsidR="00F81595" w:rsidRDefault="00F81595" w:rsidP="005A38FC">
      <w:pPr>
        <w:spacing w:after="0"/>
        <w:rPr>
          <w:rFonts w:ascii="Arial" w:hAnsi="Arial" w:cs="Arial"/>
          <w:b/>
          <w:bCs/>
          <w:color w:val="000000"/>
          <w:sz w:val="20"/>
          <w:szCs w:val="20"/>
        </w:rPr>
      </w:pPr>
    </w:p>
    <w:p w:rsidR="00F81595" w:rsidRDefault="00F81595" w:rsidP="005A38FC">
      <w:pPr>
        <w:spacing w:after="0"/>
        <w:rPr>
          <w:rFonts w:ascii="Arial" w:hAnsi="Arial" w:cs="Arial"/>
          <w:b/>
          <w:bCs/>
          <w:color w:val="000000"/>
          <w:sz w:val="20"/>
          <w:szCs w:val="20"/>
        </w:rPr>
      </w:pPr>
    </w:p>
    <w:p w:rsidR="00F81595" w:rsidRDefault="00F81595" w:rsidP="005A38FC">
      <w:pPr>
        <w:spacing w:after="0"/>
        <w:rPr>
          <w:rFonts w:ascii="Arial" w:hAnsi="Arial" w:cs="Arial"/>
          <w:b/>
          <w:bCs/>
          <w:color w:val="000000"/>
          <w:sz w:val="20"/>
          <w:szCs w:val="20"/>
        </w:rPr>
      </w:pPr>
    </w:p>
    <w:p w:rsidR="00F81595" w:rsidRDefault="00F81595" w:rsidP="005A38FC">
      <w:pPr>
        <w:spacing w:after="0"/>
        <w:rPr>
          <w:rFonts w:ascii="Arial" w:hAnsi="Arial" w:cs="Arial"/>
          <w:b/>
          <w:bCs/>
          <w:color w:val="000000"/>
          <w:sz w:val="20"/>
          <w:szCs w:val="20"/>
        </w:rPr>
      </w:pPr>
    </w:p>
    <w:p w:rsidR="005A38FC" w:rsidRDefault="005A38FC" w:rsidP="005A38FC">
      <w:pPr>
        <w:spacing w:after="0"/>
        <w:rPr>
          <w:rFonts w:ascii="Arial" w:hAnsi="Arial" w:cs="Arial"/>
          <w:b/>
          <w:bCs/>
          <w:color w:val="000000"/>
          <w:sz w:val="20"/>
          <w:szCs w:val="20"/>
        </w:rPr>
      </w:pPr>
      <w:r>
        <w:rPr>
          <w:rFonts w:ascii="Arial" w:hAnsi="Arial" w:cs="Arial"/>
          <w:b/>
          <w:bCs/>
          <w:color w:val="000000"/>
          <w:sz w:val="20"/>
          <w:szCs w:val="20"/>
        </w:rPr>
        <w:lastRenderedPageBreak/>
        <w:t xml:space="preserve">Operations of subsidiaries and branches of Indian banks and All India Financial Institutions (AIFIs) in foreign jurisdictions and in International Financial Services </w:t>
      </w:r>
      <w:proofErr w:type="spellStart"/>
      <w:r>
        <w:rPr>
          <w:rFonts w:ascii="Arial" w:hAnsi="Arial" w:cs="Arial"/>
          <w:b/>
          <w:bCs/>
          <w:color w:val="000000"/>
          <w:sz w:val="20"/>
          <w:szCs w:val="20"/>
        </w:rPr>
        <w:t>Centers</w:t>
      </w:r>
      <w:proofErr w:type="spellEnd"/>
      <w:r>
        <w:rPr>
          <w:rFonts w:ascii="Arial" w:hAnsi="Arial" w:cs="Arial"/>
          <w:b/>
          <w:bCs/>
          <w:color w:val="000000"/>
          <w:sz w:val="20"/>
          <w:szCs w:val="20"/>
        </w:rPr>
        <w:t xml:space="preserve"> (IFSCs) - Compliance with statutory/regulatory norms</w:t>
      </w:r>
    </w:p>
    <w:p w:rsidR="005A38FC" w:rsidRDefault="005A38FC" w:rsidP="005A38FC">
      <w:pPr>
        <w:spacing w:after="0"/>
        <w:rPr>
          <w:rFonts w:ascii="Arial" w:hAnsi="Arial" w:cs="Arial"/>
          <w:b/>
          <w:bCs/>
          <w:color w:val="000000"/>
          <w:sz w:val="20"/>
          <w:szCs w:val="20"/>
        </w:rPr>
      </w:pP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RBI/2022-23/145</w:t>
      </w:r>
      <w:r>
        <w:rPr>
          <w:rFonts w:ascii="Arial" w:hAnsi="Arial" w:cs="Arial"/>
          <w:color w:val="000000"/>
          <w:sz w:val="20"/>
          <w:szCs w:val="20"/>
        </w:rPr>
        <w:br/>
        <w:t>DOR.MRG.REC.87/00-00-020/2022-23</w:t>
      </w:r>
    </w:p>
    <w:p w:rsidR="005A38FC" w:rsidRDefault="005A38FC" w:rsidP="005A38FC">
      <w:pPr>
        <w:pStyle w:val="NormalWeb"/>
        <w:jc w:val="right"/>
        <w:rPr>
          <w:rFonts w:ascii="Arial" w:hAnsi="Arial" w:cs="Arial"/>
          <w:color w:val="000000"/>
          <w:sz w:val="20"/>
          <w:szCs w:val="20"/>
        </w:rPr>
      </w:pPr>
      <w:r>
        <w:rPr>
          <w:rFonts w:ascii="Arial" w:hAnsi="Arial" w:cs="Arial"/>
          <w:color w:val="000000"/>
          <w:sz w:val="20"/>
          <w:szCs w:val="20"/>
        </w:rPr>
        <w:t>December 1, 2022</w:t>
      </w:r>
    </w:p>
    <w:p w:rsidR="005A38FC" w:rsidRDefault="005A38FC" w:rsidP="005A38FC">
      <w:pPr>
        <w:pStyle w:val="head"/>
        <w:jc w:val="both"/>
        <w:rPr>
          <w:rFonts w:ascii="Arial" w:hAnsi="Arial" w:cs="Arial"/>
          <w:b/>
          <w:bCs/>
          <w:color w:val="000000"/>
          <w:sz w:val="20"/>
          <w:szCs w:val="20"/>
        </w:rPr>
      </w:pPr>
      <w:r>
        <w:rPr>
          <w:rFonts w:ascii="Arial" w:hAnsi="Arial" w:cs="Arial"/>
          <w:b/>
          <w:bCs/>
          <w:color w:val="000000"/>
          <w:sz w:val="20"/>
          <w:szCs w:val="20"/>
        </w:rPr>
        <w:t xml:space="preserve">Operations of subsidiaries and branches of Indian banks and All India Financial Institutions (AIFIs) in foreign jurisdictions and in International Financial Services </w:t>
      </w:r>
      <w:proofErr w:type="spellStart"/>
      <w:r>
        <w:rPr>
          <w:rFonts w:ascii="Arial" w:hAnsi="Arial" w:cs="Arial"/>
          <w:b/>
          <w:bCs/>
          <w:color w:val="000000"/>
          <w:sz w:val="20"/>
          <w:szCs w:val="20"/>
        </w:rPr>
        <w:t>Centers</w:t>
      </w:r>
      <w:proofErr w:type="spellEnd"/>
      <w:r>
        <w:rPr>
          <w:rFonts w:ascii="Arial" w:hAnsi="Arial" w:cs="Arial"/>
          <w:b/>
          <w:bCs/>
          <w:color w:val="000000"/>
          <w:sz w:val="20"/>
          <w:szCs w:val="20"/>
        </w:rPr>
        <w:t xml:space="preserve"> (IFSCs) - Compliance with statutory/regulatory norms</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As you are aware, Reserve Bank had vide </w:t>
      </w:r>
      <w:hyperlink r:id="rId57" w:tgtFrame="_blank" w:history="1">
        <w:r>
          <w:rPr>
            <w:rStyle w:val="Hyperlink"/>
            <w:rFonts w:ascii="Arial" w:hAnsi="Arial" w:cs="Arial"/>
            <w:sz w:val="20"/>
            <w:szCs w:val="20"/>
          </w:rPr>
          <w:t>circular DBOD.No.BP.BC.89/21.04.141/2008-09 dated December 1, 2008</w:t>
        </w:r>
      </w:hyperlink>
      <w:r>
        <w:rPr>
          <w:rFonts w:ascii="Arial" w:hAnsi="Arial" w:cs="Arial"/>
          <w:color w:val="000000"/>
          <w:sz w:val="20"/>
          <w:szCs w:val="20"/>
        </w:rPr>
        <w:t> and </w:t>
      </w:r>
      <w:hyperlink r:id="rId58" w:tgtFrame="_blank" w:history="1">
        <w:r>
          <w:rPr>
            <w:rStyle w:val="Hyperlink"/>
            <w:rFonts w:ascii="Arial" w:hAnsi="Arial" w:cs="Arial"/>
            <w:sz w:val="20"/>
            <w:szCs w:val="20"/>
          </w:rPr>
          <w:t>circular DBOD.No.BP.BC.111/21.04.157/2013-14 dated May 12, 2014</w:t>
        </w:r>
      </w:hyperlink>
      <w:r>
        <w:rPr>
          <w:rFonts w:ascii="Arial" w:hAnsi="Arial" w:cs="Arial"/>
          <w:color w:val="000000"/>
          <w:sz w:val="20"/>
          <w:szCs w:val="20"/>
        </w:rPr>
        <w:t xml:space="preserve"> issued instructions to Indian banks and AIFIs on the issue of dealing in financial products by their branches/subsidiaries operating outside India. On a review, it was felt that a framework needs to be in place to allow them to undertake activities which are not specifically permitted in the Indian domestic market and also to specify the applicability of these instructions to International Financial Services </w:t>
      </w:r>
      <w:proofErr w:type="spellStart"/>
      <w:r>
        <w:rPr>
          <w:rFonts w:ascii="Arial" w:hAnsi="Arial" w:cs="Arial"/>
          <w:color w:val="000000"/>
          <w:sz w:val="20"/>
          <w:szCs w:val="20"/>
        </w:rPr>
        <w:t>Centers</w:t>
      </w:r>
      <w:proofErr w:type="spellEnd"/>
      <w:r>
        <w:rPr>
          <w:rFonts w:ascii="Arial" w:hAnsi="Arial" w:cs="Arial"/>
          <w:color w:val="000000"/>
          <w:sz w:val="20"/>
          <w:szCs w:val="20"/>
        </w:rPr>
        <w:t xml:space="preserve"> (IFSCs) in India including Gujarat International Finance Tec-City (GIFT City).</w:t>
      </w:r>
    </w:p>
    <w:p w:rsidR="005A38FC" w:rsidRPr="00DA0710" w:rsidRDefault="005A38FC" w:rsidP="005A38FC">
      <w:pPr>
        <w:pStyle w:val="head"/>
        <w:jc w:val="both"/>
        <w:rPr>
          <w:rFonts w:ascii="Arial" w:hAnsi="Arial" w:cs="Arial"/>
          <w:bCs/>
          <w:color w:val="000000"/>
          <w:sz w:val="20"/>
          <w:szCs w:val="20"/>
        </w:rPr>
      </w:pPr>
      <w:r w:rsidRPr="00DA0710">
        <w:rPr>
          <w:rFonts w:ascii="Arial" w:hAnsi="Arial" w:cs="Arial"/>
          <w:bCs/>
          <w:color w:val="000000"/>
          <w:sz w:val="20"/>
          <w:szCs w:val="20"/>
        </w:rPr>
        <w:t>1. Applicability and commencement</w:t>
      </w:r>
    </w:p>
    <w:p w:rsidR="005A38FC" w:rsidRPr="00DA0710" w:rsidRDefault="005A38FC" w:rsidP="005A38FC">
      <w:pPr>
        <w:pStyle w:val="head"/>
        <w:jc w:val="both"/>
        <w:rPr>
          <w:rFonts w:ascii="Arial" w:hAnsi="Arial" w:cs="Arial"/>
          <w:bCs/>
          <w:color w:val="000000"/>
          <w:sz w:val="20"/>
          <w:szCs w:val="20"/>
        </w:rPr>
      </w:pPr>
      <w:r w:rsidRPr="00DA0710">
        <w:rPr>
          <w:rFonts w:ascii="Arial" w:hAnsi="Arial" w:cs="Arial"/>
          <w:bCs/>
          <w:color w:val="000000"/>
          <w:sz w:val="20"/>
          <w:szCs w:val="20"/>
        </w:rPr>
        <w:t>2. Dealing in financial products</w:t>
      </w:r>
    </w:p>
    <w:p w:rsidR="005A38FC" w:rsidRPr="00DA0710" w:rsidRDefault="005A38FC" w:rsidP="005A38FC">
      <w:pPr>
        <w:pStyle w:val="head"/>
        <w:jc w:val="both"/>
        <w:rPr>
          <w:rFonts w:ascii="Arial" w:hAnsi="Arial" w:cs="Arial"/>
          <w:bCs/>
          <w:color w:val="000000"/>
          <w:sz w:val="20"/>
          <w:szCs w:val="20"/>
        </w:rPr>
      </w:pPr>
      <w:r w:rsidRPr="00DA0710">
        <w:rPr>
          <w:rFonts w:ascii="Arial" w:hAnsi="Arial" w:cs="Arial"/>
          <w:bCs/>
          <w:color w:val="000000"/>
          <w:sz w:val="20"/>
          <w:szCs w:val="20"/>
        </w:rPr>
        <w:t>3. Conditions for dealing in financial products</w:t>
      </w:r>
    </w:p>
    <w:p w:rsidR="005A38FC" w:rsidRPr="00DA0710" w:rsidRDefault="005A38FC" w:rsidP="005A38FC">
      <w:pPr>
        <w:pStyle w:val="head"/>
        <w:jc w:val="both"/>
        <w:rPr>
          <w:rFonts w:ascii="Arial" w:hAnsi="Arial" w:cs="Arial"/>
          <w:bCs/>
          <w:color w:val="000000"/>
          <w:sz w:val="20"/>
          <w:szCs w:val="20"/>
        </w:rPr>
      </w:pPr>
      <w:r w:rsidRPr="00DA0710">
        <w:rPr>
          <w:rFonts w:ascii="Arial" w:hAnsi="Arial" w:cs="Arial"/>
          <w:bCs/>
          <w:color w:val="000000"/>
          <w:sz w:val="20"/>
          <w:szCs w:val="20"/>
        </w:rPr>
        <w:t>4. Compliance with prudential norms</w:t>
      </w:r>
    </w:p>
    <w:p w:rsidR="005A38FC" w:rsidRPr="00DA0710" w:rsidRDefault="005A38FC" w:rsidP="005A38FC">
      <w:pPr>
        <w:pStyle w:val="head"/>
        <w:jc w:val="both"/>
        <w:rPr>
          <w:rFonts w:ascii="Arial" w:hAnsi="Arial" w:cs="Arial"/>
          <w:bCs/>
          <w:color w:val="000000"/>
          <w:sz w:val="20"/>
          <w:szCs w:val="20"/>
        </w:rPr>
      </w:pPr>
      <w:r w:rsidRPr="00DA0710">
        <w:rPr>
          <w:rFonts w:ascii="Arial" w:hAnsi="Arial" w:cs="Arial"/>
          <w:bCs/>
          <w:color w:val="000000"/>
          <w:sz w:val="20"/>
          <w:szCs w:val="20"/>
        </w:rPr>
        <w:t>5. Activities subject to Indian laws</w:t>
      </w:r>
    </w:p>
    <w:p w:rsidR="005A38FC" w:rsidRPr="00DA0710" w:rsidRDefault="005A38FC" w:rsidP="005A38FC">
      <w:pPr>
        <w:pStyle w:val="head"/>
        <w:jc w:val="both"/>
        <w:rPr>
          <w:rFonts w:ascii="Arial" w:hAnsi="Arial" w:cs="Arial"/>
          <w:bCs/>
          <w:color w:val="000000"/>
          <w:sz w:val="20"/>
          <w:szCs w:val="20"/>
        </w:rPr>
      </w:pPr>
      <w:r w:rsidRPr="00DA0710">
        <w:rPr>
          <w:rFonts w:ascii="Arial" w:hAnsi="Arial" w:cs="Arial"/>
          <w:bCs/>
          <w:color w:val="000000"/>
          <w:sz w:val="20"/>
          <w:szCs w:val="20"/>
        </w:rPr>
        <w:t>6. Repeal of earlier instructions</w:t>
      </w:r>
    </w:p>
    <w:p w:rsidR="005A38FC" w:rsidRDefault="005A38FC" w:rsidP="005A38FC">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5A38FC" w:rsidRDefault="005A38FC" w:rsidP="005A38FC">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Pr="00435B25" w:rsidRDefault="005A38FC" w:rsidP="005A38FC">
      <w:pPr>
        <w:spacing w:after="0"/>
        <w:rPr>
          <w:rFonts w:ascii="Arial" w:hAnsi="Arial" w:cs="Arial"/>
          <w:sz w:val="20"/>
          <w:szCs w:val="20"/>
        </w:rPr>
      </w:pPr>
      <w:r w:rsidRPr="00435B25">
        <w:rPr>
          <w:rFonts w:ascii="Arial" w:hAnsi="Arial" w:cs="Arial"/>
          <w:sz w:val="20"/>
          <w:szCs w:val="20"/>
        </w:rPr>
        <w:t>More details can be referred to in the below link.</w:t>
      </w:r>
    </w:p>
    <w:p w:rsidR="005A38FC" w:rsidRDefault="005A38FC" w:rsidP="005A38FC">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59" w:history="1">
        <w:r w:rsidRPr="00200311">
          <w:rPr>
            <w:rStyle w:val="Hyperlink"/>
            <w:rFonts w:ascii="Arial" w:hAnsi="Arial" w:cs="Arial"/>
            <w:sz w:val="20"/>
            <w:szCs w:val="20"/>
          </w:rPr>
          <w:t>https://m.rbi.org.in/scripts/FS_Notification.aspx?Id=12417&amp;fn=14&amp;Mode=0</w:t>
        </w:r>
      </w:hyperlink>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F81595" w:rsidRDefault="00F81595" w:rsidP="005A38FC">
      <w:pPr>
        <w:spacing w:after="0"/>
        <w:rPr>
          <w:rFonts w:ascii="Arial" w:hAnsi="Arial" w:cs="Arial"/>
          <w:b/>
          <w:bCs/>
          <w:color w:val="000000"/>
          <w:sz w:val="20"/>
          <w:szCs w:val="20"/>
        </w:rPr>
      </w:pPr>
    </w:p>
    <w:p w:rsidR="005A38FC" w:rsidRPr="005A38FC" w:rsidRDefault="005A38FC" w:rsidP="005A38FC">
      <w:pPr>
        <w:spacing w:after="0"/>
        <w:rPr>
          <w:rFonts w:ascii="Arial" w:hAnsi="Arial" w:cs="Arial"/>
          <w:b/>
          <w:bCs/>
          <w:color w:val="000000"/>
          <w:sz w:val="20"/>
          <w:szCs w:val="20"/>
        </w:rPr>
      </w:pPr>
      <w:r w:rsidRPr="005A38FC">
        <w:rPr>
          <w:rFonts w:ascii="Arial" w:hAnsi="Arial" w:cs="Arial"/>
          <w:b/>
          <w:bCs/>
          <w:color w:val="000000"/>
          <w:sz w:val="20"/>
          <w:szCs w:val="20"/>
        </w:rPr>
        <w:lastRenderedPageBreak/>
        <w:t>Hedging of Gold Price Risk in Overseas Markets</w:t>
      </w:r>
    </w:p>
    <w:p w:rsidR="005A38FC" w:rsidRPr="005A38FC" w:rsidRDefault="005A38FC" w:rsidP="005A38FC">
      <w:pPr>
        <w:pStyle w:val="NormalWeb"/>
        <w:rPr>
          <w:rFonts w:ascii="Arial" w:hAnsi="Arial" w:cs="Arial"/>
          <w:sz w:val="20"/>
          <w:szCs w:val="20"/>
        </w:rPr>
      </w:pPr>
      <w:r w:rsidRPr="005A38FC">
        <w:rPr>
          <w:rFonts w:ascii="Arial" w:hAnsi="Arial" w:cs="Arial"/>
          <w:sz w:val="20"/>
          <w:szCs w:val="20"/>
        </w:rPr>
        <w:t>RBI/2022-23/151</w:t>
      </w:r>
      <w:r w:rsidRPr="005A38FC">
        <w:rPr>
          <w:rFonts w:ascii="Arial" w:hAnsi="Arial" w:cs="Arial"/>
          <w:sz w:val="20"/>
          <w:szCs w:val="20"/>
        </w:rPr>
        <w:br/>
        <w:t>A. P. (DIR Series) Circular No. 19</w:t>
      </w:r>
    </w:p>
    <w:p w:rsidR="005A38FC" w:rsidRPr="005A38FC" w:rsidRDefault="005A38FC" w:rsidP="005A38FC">
      <w:pPr>
        <w:pStyle w:val="NormalWeb"/>
        <w:jc w:val="right"/>
        <w:rPr>
          <w:rFonts w:ascii="Arial" w:hAnsi="Arial" w:cs="Arial"/>
          <w:sz w:val="20"/>
          <w:szCs w:val="20"/>
        </w:rPr>
      </w:pPr>
      <w:r w:rsidRPr="005A38FC">
        <w:rPr>
          <w:rFonts w:ascii="Arial" w:hAnsi="Arial" w:cs="Arial"/>
          <w:sz w:val="20"/>
          <w:szCs w:val="20"/>
        </w:rPr>
        <w:t>December 12, 2022</w:t>
      </w:r>
    </w:p>
    <w:p w:rsidR="005A38FC" w:rsidRPr="005A38FC" w:rsidRDefault="005A38FC" w:rsidP="005A38FC">
      <w:pPr>
        <w:pStyle w:val="NormalWeb"/>
        <w:spacing w:before="0" w:beforeAutospacing="0" w:after="0" w:afterAutospacing="0"/>
        <w:rPr>
          <w:rFonts w:ascii="Arial" w:hAnsi="Arial" w:cs="Arial"/>
          <w:sz w:val="20"/>
          <w:szCs w:val="20"/>
        </w:rPr>
      </w:pPr>
      <w:r w:rsidRPr="005A38FC">
        <w:rPr>
          <w:rFonts w:ascii="Arial" w:hAnsi="Arial" w:cs="Arial"/>
          <w:sz w:val="20"/>
          <w:szCs w:val="20"/>
        </w:rPr>
        <w:t>All Authorised Dealer Category – I Banks</w:t>
      </w:r>
    </w:p>
    <w:p w:rsidR="005A38FC" w:rsidRPr="005A38FC" w:rsidRDefault="005A38FC" w:rsidP="005A38FC">
      <w:pPr>
        <w:pStyle w:val="NormalWeb"/>
        <w:spacing w:before="0" w:beforeAutospacing="0" w:after="0" w:afterAutospacing="0"/>
        <w:rPr>
          <w:rFonts w:ascii="Arial" w:hAnsi="Arial" w:cs="Arial"/>
          <w:sz w:val="20"/>
          <w:szCs w:val="20"/>
        </w:rPr>
      </w:pPr>
      <w:r w:rsidRPr="005A38FC">
        <w:rPr>
          <w:rFonts w:ascii="Arial" w:hAnsi="Arial" w:cs="Arial"/>
          <w:sz w:val="20"/>
          <w:szCs w:val="20"/>
        </w:rPr>
        <w:t>Madam / Sir,</w:t>
      </w:r>
    </w:p>
    <w:p w:rsidR="005A38FC" w:rsidRPr="005A38FC" w:rsidRDefault="005A38FC" w:rsidP="005A38FC">
      <w:pPr>
        <w:pStyle w:val="head"/>
        <w:jc w:val="center"/>
        <w:rPr>
          <w:rFonts w:ascii="Arial" w:hAnsi="Arial" w:cs="Arial"/>
          <w:b/>
          <w:bCs/>
          <w:sz w:val="20"/>
          <w:szCs w:val="20"/>
        </w:rPr>
      </w:pPr>
      <w:r w:rsidRPr="005A38FC">
        <w:rPr>
          <w:rFonts w:ascii="Arial" w:hAnsi="Arial" w:cs="Arial"/>
          <w:b/>
          <w:bCs/>
          <w:sz w:val="20"/>
          <w:szCs w:val="20"/>
        </w:rPr>
        <w:t>Hedging of Gold Price Risk in Overseas Markets</w:t>
      </w:r>
    </w:p>
    <w:p w:rsidR="005A38FC" w:rsidRPr="005A38FC" w:rsidRDefault="005A38FC" w:rsidP="005A38FC">
      <w:pPr>
        <w:pStyle w:val="NormalWeb"/>
        <w:rPr>
          <w:rFonts w:ascii="Arial" w:hAnsi="Arial" w:cs="Arial"/>
          <w:sz w:val="20"/>
          <w:szCs w:val="20"/>
        </w:rPr>
      </w:pPr>
      <w:r w:rsidRPr="005A38FC">
        <w:rPr>
          <w:rFonts w:ascii="Arial" w:hAnsi="Arial" w:cs="Arial"/>
          <w:sz w:val="20"/>
          <w:szCs w:val="20"/>
        </w:rPr>
        <w:t>Please refer to Paragraph 4 of the </w:t>
      </w:r>
      <w:hyperlink r:id="rId60" w:tgtFrame="_blank" w:history="1">
        <w:r w:rsidRPr="005A38FC">
          <w:rPr>
            <w:rStyle w:val="Hyperlink"/>
            <w:rFonts w:ascii="Arial" w:hAnsi="Arial" w:cs="Arial"/>
            <w:sz w:val="20"/>
            <w:szCs w:val="20"/>
          </w:rPr>
          <w:t>Statement on Developmental and Regulatory Policies</w:t>
        </w:r>
      </w:hyperlink>
      <w:r w:rsidRPr="005A38FC">
        <w:rPr>
          <w:rFonts w:ascii="Arial" w:hAnsi="Arial" w:cs="Arial"/>
          <w:sz w:val="20"/>
          <w:szCs w:val="20"/>
        </w:rPr>
        <w:t> announced as a part of the </w:t>
      </w:r>
      <w:hyperlink r:id="rId61" w:tgtFrame="_blank" w:history="1">
        <w:r w:rsidRPr="005A38FC">
          <w:rPr>
            <w:rStyle w:val="Hyperlink"/>
            <w:rFonts w:ascii="Arial" w:hAnsi="Arial" w:cs="Arial"/>
            <w:sz w:val="20"/>
            <w:szCs w:val="20"/>
          </w:rPr>
          <w:t>Bi-monthly Monetary Policy Statement for 2022-23 dated December 07, 2022</w:t>
        </w:r>
      </w:hyperlink>
      <w:r w:rsidRPr="005A38FC">
        <w:rPr>
          <w:rFonts w:ascii="Arial" w:hAnsi="Arial" w:cs="Arial"/>
          <w:sz w:val="20"/>
          <w:szCs w:val="20"/>
        </w:rPr>
        <w:t> regarding hedging of price risk of gold in overseas markets. Attention is also invited to the </w:t>
      </w:r>
      <w:hyperlink r:id="rId62" w:tgtFrame="_blank" w:history="1">
        <w:r w:rsidRPr="005A38FC">
          <w:rPr>
            <w:rStyle w:val="Hyperlink"/>
            <w:rFonts w:ascii="Arial" w:hAnsi="Arial" w:cs="Arial"/>
            <w:sz w:val="20"/>
            <w:szCs w:val="20"/>
          </w:rPr>
          <w:t>Hedging of Commodity Price Risk and Freight Risk in Overseas Markets (Reserve Bank) Directions, 2018 dated March 12, 2018</w:t>
        </w:r>
      </w:hyperlink>
      <w:r w:rsidRPr="005A38FC">
        <w:rPr>
          <w:rFonts w:ascii="Arial" w:hAnsi="Arial" w:cs="Arial"/>
          <w:sz w:val="20"/>
          <w:szCs w:val="20"/>
        </w:rPr>
        <w:t>, as amended from time to time.</w:t>
      </w:r>
    </w:p>
    <w:p w:rsidR="005A38FC" w:rsidRPr="005A38FC" w:rsidRDefault="005A38FC" w:rsidP="005A38FC">
      <w:pPr>
        <w:pStyle w:val="NormalWeb"/>
        <w:rPr>
          <w:rFonts w:ascii="Arial" w:hAnsi="Arial" w:cs="Arial"/>
          <w:sz w:val="20"/>
          <w:szCs w:val="20"/>
        </w:rPr>
      </w:pPr>
      <w:r w:rsidRPr="005A38FC">
        <w:rPr>
          <w:rFonts w:ascii="Arial" w:hAnsi="Arial" w:cs="Arial"/>
          <w:sz w:val="20"/>
          <w:szCs w:val="20"/>
        </w:rPr>
        <w:t>2. Resident entities in India are currently not permitted to hedge their exposure to price risk of gold in overseas markets. On a review, it has been decided to permit eligible entities to hedge their exposure to price risk of gold on exchanges in the International Financial Services Centre (IFSC) recognised by the International Financial Services Centres Authority (IFSCA).</w:t>
      </w:r>
    </w:p>
    <w:p w:rsidR="005A38FC" w:rsidRPr="005A38FC" w:rsidRDefault="005A38FC" w:rsidP="005A38FC">
      <w:pPr>
        <w:pStyle w:val="NormalWeb"/>
        <w:rPr>
          <w:rFonts w:ascii="Arial" w:hAnsi="Arial" w:cs="Arial"/>
          <w:sz w:val="20"/>
          <w:szCs w:val="20"/>
        </w:rPr>
      </w:pPr>
      <w:r w:rsidRPr="005A38FC">
        <w:rPr>
          <w:rFonts w:ascii="Arial" w:hAnsi="Arial" w:cs="Arial"/>
          <w:sz w:val="20"/>
          <w:szCs w:val="20"/>
        </w:rPr>
        <w:t>3. The Master Direction – Foreign Exchange Management (Hedging of Commodity Price Risk and Freight Risk in Overseas Markets) Directions, 2022 (</w:t>
      </w:r>
      <w:hyperlink r:id="rId63" w:tgtFrame="_blank" w:history="1">
        <w:r w:rsidRPr="005A38FC">
          <w:rPr>
            <w:rStyle w:val="Hyperlink"/>
            <w:rFonts w:ascii="Arial" w:hAnsi="Arial" w:cs="Arial"/>
            <w:sz w:val="20"/>
            <w:szCs w:val="20"/>
          </w:rPr>
          <w:t>A. P. (DIR Series) Circular No. 21 dated December 12, 2022</w:t>
        </w:r>
      </w:hyperlink>
      <w:r w:rsidRPr="005A38FC">
        <w:rPr>
          <w:rFonts w:ascii="Arial" w:hAnsi="Arial" w:cs="Arial"/>
          <w:sz w:val="20"/>
          <w:szCs w:val="20"/>
        </w:rPr>
        <w:t>) have been issued today and are enclosed herewith.</w:t>
      </w:r>
    </w:p>
    <w:p w:rsidR="005A38FC" w:rsidRPr="005A38FC" w:rsidRDefault="005A38FC" w:rsidP="005A38FC">
      <w:pPr>
        <w:pStyle w:val="NormalWeb"/>
        <w:rPr>
          <w:rFonts w:ascii="Arial" w:hAnsi="Arial" w:cs="Arial"/>
          <w:sz w:val="20"/>
          <w:szCs w:val="20"/>
        </w:rPr>
      </w:pPr>
      <w:r w:rsidRPr="005A38FC">
        <w:rPr>
          <w:rFonts w:ascii="Arial" w:hAnsi="Arial" w:cs="Arial"/>
          <w:sz w:val="20"/>
          <w:szCs w:val="20"/>
        </w:rPr>
        <w:t>4. The directions contained in this circular have been issued under Sections 10(4) and 11(1) of the Foreign Exchange Management Act, 1999 (42 of 1999) and are without prejudice to permissions/ approvals, if any, required under any other law.</w:t>
      </w:r>
    </w:p>
    <w:p w:rsidR="005A38FC" w:rsidRPr="005A38FC" w:rsidRDefault="005A38FC" w:rsidP="005A38FC">
      <w:pPr>
        <w:pStyle w:val="NormalWeb"/>
        <w:spacing w:before="0" w:beforeAutospacing="0" w:after="0" w:afterAutospacing="0"/>
        <w:rPr>
          <w:rFonts w:ascii="Arial" w:hAnsi="Arial" w:cs="Arial"/>
          <w:sz w:val="20"/>
          <w:szCs w:val="20"/>
        </w:rPr>
      </w:pPr>
      <w:r w:rsidRPr="005A38FC">
        <w:rPr>
          <w:rFonts w:ascii="Arial" w:hAnsi="Arial" w:cs="Arial"/>
          <w:sz w:val="20"/>
          <w:szCs w:val="20"/>
        </w:rPr>
        <w:t>Yours faithfully,</w:t>
      </w:r>
    </w:p>
    <w:p w:rsidR="005A38FC" w:rsidRPr="005A38FC" w:rsidRDefault="005A38FC" w:rsidP="005A38FC">
      <w:pPr>
        <w:pStyle w:val="NormalWeb"/>
        <w:spacing w:before="0" w:beforeAutospacing="0" w:after="0" w:afterAutospacing="0"/>
        <w:rPr>
          <w:rFonts w:ascii="Arial" w:hAnsi="Arial" w:cs="Arial"/>
          <w:sz w:val="20"/>
          <w:szCs w:val="20"/>
        </w:rPr>
      </w:pPr>
      <w:r w:rsidRPr="005A38FC">
        <w:rPr>
          <w:rFonts w:ascii="Arial" w:hAnsi="Arial" w:cs="Arial"/>
          <w:sz w:val="20"/>
          <w:szCs w:val="20"/>
        </w:rPr>
        <w:t xml:space="preserve">(Dimple </w:t>
      </w:r>
      <w:proofErr w:type="spellStart"/>
      <w:r w:rsidRPr="005A38FC">
        <w:rPr>
          <w:rFonts w:ascii="Arial" w:hAnsi="Arial" w:cs="Arial"/>
          <w:sz w:val="20"/>
          <w:szCs w:val="20"/>
        </w:rPr>
        <w:t>Bhandia</w:t>
      </w:r>
      <w:proofErr w:type="spellEnd"/>
      <w:r w:rsidRPr="005A38FC">
        <w:rPr>
          <w:rFonts w:ascii="Arial" w:hAnsi="Arial" w:cs="Arial"/>
          <w:sz w:val="20"/>
          <w:szCs w:val="20"/>
        </w:rPr>
        <w:t>)</w:t>
      </w:r>
      <w:r w:rsidRPr="005A38FC">
        <w:rPr>
          <w:rFonts w:ascii="Arial" w:hAnsi="Arial" w:cs="Arial"/>
          <w:sz w:val="20"/>
          <w:szCs w:val="20"/>
        </w:rPr>
        <w:br/>
        <w:t>Chief General Manager</w:t>
      </w: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Pr="00435B25" w:rsidRDefault="005A38FC" w:rsidP="005A38FC">
      <w:pPr>
        <w:spacing w:after="0"/>
        <w:rPr>
          <w:rFonts w:ascii="Arial" w:hAnsi="Arial" w:cs="Arial"/>
          <w:sz w:val="20"/>
          <w:szCs w:val="20"/>
        </w:rPr>
      </w:pPr>
      <w:r w:rsidRPr="00435B25">
        <w:rPr>
          <w:rFonts w:ascii="Arial" w:hAnsi="Arial" w:cs="Arial"/>
          <w:sz w:val="20"/>
          <w:szCs w:val="20"/>
        </w:rPr>
        <w:t>More details can be referred to in the below link.</w:t>
      </w:r>
    </w:p>
    <w:p w:rsidR="005A38FC" w:rsidRDefault="005A38FC" w:rsidP="005A38FC">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64" w:anchor=":~:text=Hedging%20of%20Gold%20Price%20Risk%20in%20Overseas%20Markets&amp;text=Resident%20entities%20in%20India%20are,of%20gold%20in%20overseas%20markets" w:history="1">
        <w:r w:rsidRPr="00200311">
          <w:rPr>
            <w:rStyle w:val="Hyperlink"/>
            <w:rFonts w:ascii="Arial" w:hAnsi="Arial" w:cs="Arial"/>
            <w:sz w:val="20"/>
            <w:szCs w:val="20"/>
          </w:rPr>
          <w:t>https://m.rbi.org.in/scripts/FS_Notification.aspx?Id=12423&amp;fn=6&amp;Mode=0#:~:text=Hedging%20of%20Gold%20Price%20Risk%20in%20Overseas%20Markets&amp;text=Resident%20entities%20in%20India%20are,of%20gold%20in%20overseas%20markets</w:t>
        </w:r>
      </w:hyperlink>
      <w:r w:rsidRPr="005A38FC">
        <w:rPr>
          <w:rFonts w:ascii="Arial" w:hAnsi="Arial" w:cs="Arial"/>
          <w:sz w:val="20"/>
          <w:szCs w:val="20"/>
        </w:rPr>
        <w:t>.</w:t>
      </w: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b/>
          <w:bCs/>
          <w:color w:val="000000"/>
          <w:sz w:val="20"/>
          <w:szCs w:val="20"/>
        </w:rPr>
      </w:pPr>
      <w:r>
        <w:rPr>
          <w:rFonts w:ascii="Arial" w:hAnsi="Arial" w:cs="Arial"/>
          <w:b/>
          <w:bCs/>
          <w:color w:val="000000"/>
          <w:sz w:val="20"/>
          <w:szCs w:val="20"/>
        </w:rPr>
        <w:lastRenderedPageBreak/>
        <w:t>Master Direction – Foreign Exchange Management (Hedging of Commodity Price Risk and Freight Risk in Overseas Markets) Directions, 2022</w:t>
      </w:r>
    </w:p>
    <w:p w:rsidR="005A38FC" w:rsidRDefault="005A38FC" w:rsidP="005A38FC">
      <w:pPr>
        <w:spacing w:after="0"/>
        <w:rPr>
          <w:rFonts w:ascii="Arial" w:hAnsi="Arial" w:cs="Arial"/>
          <w:b/>
          <w:bCs/>
          <w:color w:val="000000"/>
          <w:sz w:val="20"/>
          <w:szCs w:val="20"/>
        </w:rPr>
      </w:pP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RBI/2022-2023/94</w:t>
      </w:r>
      <w:r>
        <w:rPr>
          <w:rFonts w:ascii="Arial" w:hAnsi="Arial" w:cs="Arial"/>
          <w:color w:val="000000"/>
          <w:sz w:val="20"/>
          <w:szCs w:val="20"/>
        </w:rPr>
        <w:br/>
        <w:t>A. P. (DIR Series) Circular No. 20</w:t>
      </w:r>
    </w:p>
    <w:p w:rsidR="005A38FC" w:rsidRDefault="005A38FC" w:rsidP="005A38FC">
      <w:pPr>
        <w:pStyle w:val="NormalWeb"/>
        <w:jc w:val="right"/>
        <w:rPr>
          <w:rFonts w:ascii="Arial" w:hAnsi="Arial" w:cs="Arial"/>
          <w:color w:val="000000"/>
          <w:sz w:val="20"/>
          <w:szCs w:val="20"/>
        </w:rPr>
      </w:pPr>
      <w:r>
        <w:rPr>
          <w:rFonts w:ascii="Arial" w:hAnsi="Arial" w:cs="Arial"/>
          <w:color w:val="000000"/>
          <w:sz w:val="20"/>
          <w:szCs w:val="20"/>
        </w:rPr>
        <w:t>December 12, 2022</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All Authorised Dealer Category – I Banks</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Madam / Sir,</w:t>
      </w:r>
    </w:p>
    <w:p w:rsidR="005A38FC" w:rsidRDefault="005A38FC" w:rsidP="005A38FC">
      <w:pPr>
        <w:pStyle w:val="head"/>
        <w:jc w:val="center"/>
        <w:rPr>
          <w:rFonts w:ascii="Arial" w:hAnsi="Arial" w:cs="Arial"/>
          <w:b/>
          <w:bCs/>
          <w:color w:val="000000"/>
          <w:sz w:val="20"/>
          <w:szCs w:val="20"/>
        </w:rPr>
      </w:pPr>
      <w:r>
        <w:rPr>
          <w:rFonts w:ascii="Arial" w:hAnsi="Arial" w:cs="Arial"/>
          <w:b/>
          <w:bCs/>
          <w:color w:val="000000"/>
          <w:sz w:val="20"/>
          <w:szCs w:val="20"/>
        </w:rPr>
        <w:t>Master Direction – Foreign Exchange Management (Hedging of Commodity Price Risk</w:t>
      </w:r>
      <w:r>
        <w:rPr>
          <w:rFonts w:ascii="Arial" w:hAnsi="Arial" w:cs="Arial"/>
          <w:b/>
          <w:bCs/>
          <w:color w:val="000000"/>
          <w:sz w:val="20"/>
          <w:szCs w:val="20"/>
        </w:rPr>
        <w:br/>
        <w:t>and Freight Risk in Overseas Markets) Directions, 2022</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Attention of Authorised Dealer Category - I (AD Cat-I) banks is invited to Regulation 6 and 6A of the Foreign Exchange Management (Foreign Exchange Derivative Contracts) Regulations, 2000 dated May 3, 2000 (</w:t>
      </w:r>
      <w:hyperlink r:id="rId65" w:tgtFrame="_blank" w:history="1">
        <w:r>
          <w:rPr>
            <w:rStyle w:val="Hyperlink"/>
            <w:rFonts w:ascii="Arial" w:hAnsi="Arial" w:cs="Arial"/>
            <w:sz w:val="20"/>
            <w:szCs w:val="20"/>
          </w:rPr>
          <w:t>Notification No. FEMA. 25/RB-2000 dated May 3, 2000</w:t>
        </w:r>
      </w:hyperlink>
      <w:r>
        <w:rPr>
          <w:rFonts w:ascii="Arial" w:hAnsi="Arial" w:cs="Arial"/>
          <w:color w:val="000000"/>
          <w:sz w:val="20"/>
          <w:szCs w:val="20"/>
        </w:rPr>
        <w:t>), as amended from time to time, issued under clause (h) of sub-section (2) of Section 47 of Foreign Exchange Management Act, 1999 (Act 42 of 1999) as amended from time to time.</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2. Within the contours of the Regulations, the Reserve Bank issues directions to Authorised Persons under Section 11 of the Foreign Exchange Management Act, 1999 (Act 42 of 1999). These Directions lay down the modalities for the AD Cat-I banks for facilitating hedging of commodity price risk and freight risk in overseas markets by their customers / constituents.</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3. The Master Direction – Foreign Exchange Management (Hedging of Commodity Price Risk and Freight Risk in Overseas Markets) Directions, 2022 are </w:t>
      </w:r>
      <w:hyperlink r:id="rId66" w:anchor="enclosed" w:history="1">
        <w:r>
          <w:rPr>
            <w:rStyle w:val="Hyperlink"/>
            <w:rFonts w:ascii="Arial" w:hAnsi="Arial" w:cs="Arial"/>
            <w:sz w:val="20"/>
            <w:szCs w:val="20"/>
          </w:rPr>
          <w:t>enclosed</w:t>
        </w:r>
      </w:hyperlink>
      <w:r>
        <w:rPr>
          <w:rFonts w:ascii="Arial" w:hAnsi="Arial" w:cs="Arial"/>
          <w:color w:val="000000"/>
          <w:sz w:val="20"/>
          <w:szCs w:val="20"/>
        </w:rPr>
        <w:t> herewith. AD Cat-I banks may bring the contents of these Directions to the notice of their customers / constituents concerned.</w:t>
      </w:r>
    </w:p>
    <w:p w:rsidR="005A38FC" w:rsidRDefault="005A38FC" w:rsidP="00B71788">
      <w:pPr>
        <w:pStyle w:val="NormalWeb"/>
        <w:jc w:val="both"/>
        <w:rPr>
          <w:rFonts w:ascii="Arial" w:hAnsi="Arial" w:cs="Arial"/>
          <w:color w:val="000000"/>
          <w:sz w:val="20"/>
          <w:szCs w:val="20"/>
        </w:rPr>
      </w:pPr>
      <w:r>
        <w:rPr>
          <w:rFonts w:ascii="Arial" w:hAnsi="Arial" w:cs="Arial"/>
          <w:color w:val="000000"/>
          <w:sz w:val="20"/>
          <w:szCs w:val="20"/>
        </w:rPr>
        <w:t>4. The directions contained in this circular have been issued under Sections 10(4) and 11(1) of the Foreign Exchange Management Act, 1999 (42 of 1999) and are without prejudice to permissions/ approvals, if any, required under any other law.</w:t>
      </w:r>
    </w:p>
    <w:p w:rsidR="005A38FC" w:rsidRDefault="005A38FC" w:rsidP="005A38FC">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5A38FC" w:rsidRDefault="005A38FC" w:rsidP="00B71788">
      <w:pPr>
        <w:pStyle w:val="NormalWeb"/>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Pr="00435B25" w:rsidRDefault="005A38FC" w:rsidP="005A38FC">
      <w:pPr>
        <w:spacing w:after="0"/>
        <w:rPr>
          <w:rFonts w:ascii="Arial" w:hAnsi="Arial" w:cs="Arial"/>
          <w:sz w:val="20"/>
          <w:szCs w:val="20"/>
        </w:rPr>
      </w:pPr>
      <w:r w:rsidRPr="00435B25">
        <w:rPr>
          <w:rFonts w:ascii="Arial" w:hAnsi="Arial" w:cs="Arial"/>
          <w:sz w:val="20"/>
          <w:szCs w:val="20"/>
        </w:rPr>
        <w:t>More details can be referred to in the below link.</w:t>
      </w:r>
    </w:p>
    <w:p w:rsidR="005A38FC" w:rsidRDefault="005A38FC" w:rsidP="005A38FC">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67" w:history="1">
        <w:r w:rsidRPr="00200311">
          <w:rPr>
            <w:rStyle w:val="Hyperlink"/>
            <w:rFonts w:ascii="Arial" w:hAnsi="Arial" w:cs="Arial"/>
            <w:sz w:val="20"/>
            <w:szCs w:val="20"/>
          </w:rPr>
          <w:t>https://www.rbi.org.in/Scripts/BS_ViewMasDirections.aspx?id=12427</w:t>
        </w:r>
      </w:hyperlink>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bookmarkStart w:id="0" w:name="_GoBack"/>
      <w:bookmarkEnd w:id="0"/>
    </w:p>
    <w:sectPr w:rsidR="005A38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88F"/>
    <w:multiLevelType w:val="multilevel"/>
    <w:tmpl w:val="4B72A3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8E025F9"/>
    <w:multiLevelType w:val="multilevel"/>
    <w:tmpl w:val="E3108F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EE1848"/>
    <w:multiLevelType w:val="multilevel"/>
    <w:tmpl w:val="7EFE66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FE91410"/>
    <w:multiLevelType w:val="multilevel"/>
    <w:tmpl w:val="C6E82E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0824147"/>
    <w:multiLevelType w:val="multilevel"/>
    <w:tmpl w:val="EFB0C5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12E110C"/>
    <w:multiLevelType w:val="multilevel"/>
    <w:tmpl w:val="5B24EE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9090732"/>
    <w:multiLevelType w:val="multilevel"/>
    <w:tmpl w:val="5AA4B4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2B826247"/>
    <w:multiLevelType w:val="multilevel"/>
    <w:tmpl w:val="12EAFD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334A636F"/>
    <w:multiLevelType w:val="multilevel"/>
    <w:tmpl w:val="AAA05F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357D4582"/>
    <w:multiLevelType w:val="multilevel"/>
    <w:tmpl w:val="94005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62A33A4"/>
    <w:multiLevelType w:val="multilevel"/>
    <w:tmpl w:val="BBD456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3D1C0D25"/>
    <w:multiLevelType w:val="multilevel"/>
    <w:tmpl w:val="E26E2F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433C2382"/>
    <w:multiLevelType w:val="multilevel"/>
    <w:tmpl w:val="E708D8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4F8E310F"/>
    <w:multiLevelType w:val="multilevel"/>
    <w:tmpl w:val="7B2CB7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1EE5FA6"/>
    <w:multiLevelType w:val="multilevel"/>
    <w:tmpl w:val="36EEA8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59AC63D0"/>
    <w:multiLevelType w:val="hybridMultilevel"/>
    <w:tmpl w:val="01961D3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6" w15:restartNumberingAfterBreak="0">
    <w:nsid w:val="5D2B74A0"/>
    <w:multiLevelType w:val="multilevel"/>
    <w:tmpl w:val="F9CA65CC"/>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17" w15:restartNumberingAfterBreak="0">
    <w:nsid w:val="5D333C26"/>
    <w:multiLevelType w:val="multilevel"/>
    <w:tmpl w:val="9CA4C1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64E15E3A"/>
    <w:multiLevelType w:val="multilevel"/>
    <w:tmpl w:val="495A5F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78FC2A94"/>
    <w:multiLevelType w:val="multilevel"/>
    <w:tmpl w:val="3808D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6"/>
  </w:num>
  <w:num w:numId="7">
    <w:abstractNumId w:val="13"/>
  </w:num>
  <w:num w:numId="8">
    <w:abstractNumId w:val="1"/>
  </w:num>
  <w:num w:numId="9">
    <w:abstractNumId w:val="0"/>
  </w:num>
  <w:num w:numId="10">
    <w:abstractNumId w:val="8"/>
  </w:num>
  <w:num w:numId="11">
    <w:abstractNumId w:val="7"/>
  </w:num>
  <w:num w:numId="12">
    <w:abstractNumId w:val="2"/>
  </w:num>
  <w:num w:numId="13">
    <w:abstractNumId w:val="6"/>
  </w:num>
  <w:num w:numId="14">
    <w:abstractNumId w:val="12"/>
  </w:num>
  <w:num w:numId="15">
    <w:abstractNumId w:val="18"/>
  </w:num>
  <w:num w:numId="16">
    <w:abstractNumId w:val="3"/>
  </w:num>
  <w:num w:numId="17">
    <w:abstractNumId w:val="10"/>
  </w:num>
  <w:num w:numId="18">
    <w:abstractNumId w:val="5"/>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6D"/>
    <w:rsid w:val="00006E6D"/>
    <w:rsid w:val="00047CD5"/>
    <w:rsid w:val="000A094E"/>
    <w:rsid w:val="000D141C"/>
    <w:rsid w:val="000F6CB6"/>
    <w:rsid w:val="00121B22"/>
    <w:rsid w:val="00147837"/>
    <w:rsid w:val="00166E3C"/>
    <w:rsid w:val="001B0D06"/>
    <w:rsid w:val="001E7AD4"/>
    <w:rsid w:val="001F219E"/>
    <w:rsid w:val="002A3764"/>
    <w:rsid w:val="002A5E5F"/>
    <w:rsid w:val="002C55B6"/>
    <w:rsid w:val="002C6AB6"/>
    <w:rsid w:val="00435B25"/>
    <w:rsid w:val="0045114B"/>
    <w:rsid w:val="00467894"/>
    <w:rsid w:val="004D6B44"/>
    <w:rsid w:val="00583041"/>
    <w:rsid w:val="005A38FC"/>
    <w:rsid w:val="005D5DB2"/>
    <w:rsid w:val="00624464"/>
    <w:rsid w:val="00645D84"/>
    <w:rsid w:val="0074038C"/>
    <w:rsid w:val="00744532"/>
    <w:rsid w:val="008462A3"/>
    <w:rsid w:val="00852DAF"/>
    <w:rsid w:val="009126BF"/>
    <w:rsid w:val="009B54D0"/>
    <w:rsid w:val="009F305B"/>
    <w:rsid w:val="00A32EAB"/>
    <w:rsid w:val="00A76041"/>
    <w:rsid w:val="00B52BBF"/>
    <w:rsid w:val="00B64439"/>
    <w:rsid w:val="00B71788"/>
    <w:rsid w:val="00BF2165"/>
    <w:rsid w:val="00C0370F"/>
    <w:rsid w:val="00C754F7"/>
    <w:rsid w:val="00C92EBC"/>
    <w:rsid w:val="00CE14AF"/>
    <w:rsid w:val="00DA0710"/>
    <w:rsid w:val="00DE227F"/>
    <w:rsid w:val="00EC7DEE"/>
    <w:rsid w:val="00F00FBC"/>
    <w:rsid w:val="00F81595"/>
    <w:rsid w:val="00FB49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D0754"/>
  <w15:chartTrackingRefBased/>
  <w15:docId w15:val="{237EF2D5-A44F-4913-B195-C42A7C64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16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165"/>
    <w:rPr>
      <w:color w:val="0000FF"/>
      <w:u w:val="single"/>
    </w:rPr>
  </w:style>
  <w:style w:type="paragraph" w:styleId="NormalWeb">
    <w:name w:val="Normal (Web)"/>
    <w:basedOn w:val="Normal"/>
    <w:uiPriority w:val="99"/>
    <w:unhideWhenUsed/>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BF2165"/>
    <w:pPr>
      <w:ind w:left="720"/>
      <w:contextualSpacing/>
    </w:pPr>
  </w:style>
  <w:style w:type="paragraph" w:customStyle="1" w:styleId="head">
    <w:name w:val="head"/>
    <w:basedOn w:val="Normal"/>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BF21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
    <w:name w:val="head1"/>
    <w:basedOn w:val="DefaultParagraphFont"/>
    <w:rsid w:val="001E7AD4"/>
  </w:style>
  <w:style w:type="paragraph" w:styleId="NoSpacing">
    <w:name w:val="No Spacing"/>
    <w:uiPriority w:val="1"/>
    <w:qFormat/>
    <w:rsid w:val="000F6CB6"/>
    <w:pPr>
      <w:spacing w:after="0" w:line="240" w:lineRule="auto"/>
    </w:pPr>
  </w:style>
  <w:style w:type="character" w:styleId="Emphasis">
    <w:name w:val="Emphasis"/>
    <w:basedOn w:val="DefaultParagraphFont"/>
    <w:uiPriority w:val="20"/>
    <w:qFormat/>
    <w:rsid w:val="000D14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7902">
      <w:bodyDiv w:val="1"/>
      <w:marLeft w:val="0"/>
      <w:marRight w:val="0"/>
      <w:marTop w:val="0"/>
      <w:marBottom w:val="0"/>
      <w:divBdr>
        <w:top w:val="none" w:sz="0" w:space="0" w:color="auto"/>
        <w:left w:val="none" w:sz="0" w:space="0" w:color="auto"/>
        <w:bottom w:val="none" w:sz="0" w:space="0" w:color="auto"/>
        <w:right w:val="none" w:sz="0" w:space="0" w:color="auto"/>
      </w:divBdr>
    </w:div>
    <w:div w:id="139806540">
      <w:bodyDiv w:val="1"/>
      <w:marLeft w:val="0"/>
      <w:marRight w:val="0"/>
      <w:marTop w:val="0"/>
      <w:marBottom w:val="0"/>
      <w:divBdr>
        <w:top w:val="none" w:sz="0" w:space="0" w:color="auto"/>
        <w:left w:val="none" w:sz="0" w:space="0" w:color="auto"/>
        <w:bottom w:val="none" w:sz="0" w:space="0" w:color="auto"/>
        <w:right w:val="none" w:sz="0" w:space="0" w:color="auto"/>
      </w:divBdr>
    </w:div>
    <w:div w:id="164829666">
      <w:bodyDiv w:val="1"/>
      <w:marLeft w:val="0"/>
      <w:marRight w:val="0"/>
      <w:marTop w:val="0"/>
      <w:marBottom w:val="0"/>
      <w:divBdr>
        <w:top w:val="none" w:sz="0" w:space="0" w:color="auto"/>
        <w:left w:val="none" w:sz="0" w:space="0" w:color="auto"/>
        <w:bottom w:val="none" w:sz="0" w:space="0" w:color="auto"/>
        <w:right w:val="none" w:sz="0" w:space="0" w:color="auto"/>
      </w:divBdr>
    </w:div>
    <w:div w:id="253173397">
      <w:bodyDiv w:val="1"/>
      <w:marLeft w:val="0"/>
      <w:marRight w:val="0"/>
      <w:marTop w:val="0"/>
      <w:marBottom w:val="0"/>
      <w:divBdr>
        <w:top w:val="none" w:sz="0" w:space="0" w:color="auto"/>
        <w:left w:val="none" w:sz="0" w:space="0" w:color="auto"/>
        <w:bottom w:val="none" w:sz="0" w:space="0" w:color="auto"/>
        <w:right w:val="none" w:sz="0" w:space="0" w:color="auto"/>
      </w:divBdr>
    </w:div>
    <w:div w:id="290094693">
      <w:bodyDiv w:val="1"/>
      <w:marLeft w:val="0"/>
      <w:marRight w:val="0"/>
      <w:marTop w:val="0"/>
      <w:marBottom w:val="0"/>
      <w:divBdr>
        <w:top w:val="none" w:sz="0" w:space="0" w:color="auto"/>
        <w:left w:val="none" w:sz="0" w:space="0" w:color="auto"/>
        <w:bottom w:val="none" w:sz="0" w:space="0" w:color="auto"/>
        <w:right w:val="none" w:sz="0" w:space="0" w:color="auto"/>
      </w:divBdr>
    </w:div>
    <w:div w:id="334571405">
      <w:bodyDiv w:val="1"/>
      <w:marLeft w:val="0"/>
      <w:marRight w:val="0"/>
      <w:marTop w:val="0"/>
      <w:marBottom w:val="0"/>
      <w:divBdr>
        <w:top w:val="none" w:sz="0" w:space="0" w:color="auto"/>
        <w:left w:val="none" w:sz="0" w:space="0" w:color="auto"/>
        <w:bottom w:val="none" w:sz="0" w:space="0" w:color="auto"/>
        <w:right w:val="none" w:sz="0" w:space="0" w:color="auto"/>
      </w:divBdr>
    </w:div>
    <w:div w:id="339429337">
      <w:bodyDiv w:val="1"/>
      <w:marLeft w:val="0"/>
      <w:marRight w:val="0"/>
      <w:marTop w:val="0"/>
      <w:marBottom w:val="0"/>
      <w:divBdr>
        <w:top w:val="none" w:sz="0" w:space="0" w:color="auto"/>
        <w:left w:val="none" w:sz="0" w:space="0" w:color="auto"/>
        <w:bottom w:val="none" w:sz="0" w:space="0" w:color="auto"/>
        <w:right w:val="none" w:sz="0" w:space="0" w:color="auto"/>
      </w:divBdr>
    </w:div>
    <w:div w:id="343168591">
      <w:bodyDiv w:val="1"/>
      <w:marLeft w:val="0"/>
      <w:marRight w:val="0"/>
      <w:marTop w:val="0"/>
      <w:marBottom w:val="0"/>
      <w:divBdr>
        <w:top w:val="none" w:sz="0" w:space="0" w:color="auto"/>
        <w:left w:val="none" w:sz="0" w:space="0" w:color="auto"/>
        <w:bottom w:val="none" w:sz="0" w:space="0" w:color="auto"/>
        <w:right w:val="none" w:sz="0" w:space="0" w:color="auto"/>
      </w:divBdr>
    </w:div>
    <w:div w:id="358169095">
      <w:bodyDiv w:val="1"/>
      <w:marLeft w:val="0"/>
      <w:marRight w:val="0"/>
      <w:marTop w:val="0"/>
      <w:marBottom w:val="0"/>
      <w:divBdr>
        <w:top w:val="none" w:sz="0" w:space="0" w:color="auto"/>
        <w:left w:val="none" w:sz="0" w:space="0" w:color="auto"/>
        <w:bottom w:val="none" w:sz="0" w:space="0" w:color="auto"/>
        <w:right w:val="none" w:sz="0" w:space="0" w:color="auto"/>
      </w:divBdr>
    </w:div>
    <w:div w:id="504511713">
      <w:bodyDiv w:val="1"/>
      <w:marLeft w:val="0"/>
      <w:marRight w:val="0"/>
      <w:marTop w:val="0"/>
      <w:marBottom w:val="0"/>
      <w:divBdr>
        <w:top w:val="none" w:sz="0" w:space="0" w:color="auto"/>
        <w:left w:val="none" w:sz="0" w:space="0" w:color="auto"/>
        <w:bottom w:val="none" w:sz="0" w:space="0" w:color="auto"/>
        <w:right w:val="none" w:sz="0" w:space="0" w:color="auto"/>
      </w:divBdr>
    </w:div>
    <w:div w:id="534197464">
      <w:bodyDiv w:val="1"/>
      <w:marLeft w:val="0"/>
      <w:marRight w:val="0"/>
      <w:marTop w:val="0"/>
      <w:marBottom w:val="0"/>
      <w:divBdr>
        <w:top w:val="none" w:sz="0" w:space="0" w:color="auto"/>
        <w:left w:val="none" w:sz="0" w:space="0" w:color="auto"/>
        <w:bottom w:val="none" w:sz="0" w:space="0" w:color="auto"/>
        <w:right w:val="none" w:sz="0" w:space="0" w:color="auto"/>
      </w:divBdr>
    </w:div>
    <w:div w:id="556473836">
      <w:bodyDiv w:val="1"/>
      <w:marLeft w:val="0"/>
      <w:marRight w:val="0"/>
      <w:marTop w:val="0"/>
      <w:marBottom w:val="0"/>
      <w:divBdr>
        <w:top w:val="none" w:sz="0" w:space="0" w:color="auto"/>
        <w:left w:val="none" w:sz="0" w:space="0" w:color="auto"/>
        <w:bottom w:val="none" w:sz="0" w:space="0" w:color="auto"/>
        <w:right w:val="none" w:sz="0" w:space="0" w:color="auto"/>
      </w:divBdr>
    </w:div>
    <w:div w:id="638805484">
      <w:bodyDiv w:val="1"/>
      <w:marLeft w:val="0"/>
      <w:marRight w:val="0"/>
      <w:marTop w:val="0"/>
      <w:marBottom w:val="0"/>
      <w:divBdr>
        <w:top w:val="none" w:sz="0" w:space="0" w:color="auto"/>
        <w:left w:val="none" w:sz="0" w:space="0" w:color="auto"/>
        <w:bottom w:val="none" w:sz="0" w:space="0" w:color="auto"/>
        <w:right w:val="none" w:sz="0" w:space="0" w:color="auto"/>
      </w:divBdr>
    </w:div>
    <w:div w:id="674184569">
      <w:bodyDiv w:val="1"/>
      <w:marLeft w:val="0"/>
      <w:marRight w:val="0"/>
      <w:marTop w:val="0"/>
      <w:marBottom w:val="0"/>
      <w:divBdr>
        <w:top w:val="none" w:sz="0" w:space="0" w:color="auto"/>
        <w:left w:val="none" w:sz="0" w:space="0" w:color="auto"/>
        <w:bottom w:val="none" w:sz="0" w:space="0" w:color="auto"/>
        <w:right w:val="none" w:sz="0" w:space="0" w:color="auto"/>
      </w:divBdr>
    </w:div>
    <w:div w:id="715006577">
      <w:bodyDiv w:val="1"/>
      <w:marLeft w:val="0"/>
      <w:marRight w:val="0"/>
      <w:marTop w:val="0"/>
      <w:marBottom w:val="0"/>
      <w:divBdr>
        <w:top w:val="none" w:sz="0" w:space="0" w:color="auto"/>
        <w:left w:val="none" w:sz="0" w:space="0" w:color="auto"/>
        <w:bottom w:val="none" w:sz="0" w:space="0" w:color="auto"/>
        <w:right w:val="none" w:sz="0" w:space="0" w:color="auto"/>
      </w:divBdr>
    </w:div>
    <w:div w:id="753631214">
      <w:bodyDiv w:val="1"/>
      <w:marLeft w:val="0"/>
      <w:marRight w:val="0"/>
      <w:marTop w:val="0"/>
      <w:marBottom w:val="0"/>
      <w:divBdr>
        <w:top w:val="none" w:sz="0" w:space="0" w:color="auto"/>
        <w:left w:val="none" w:sz="0" w:space="0" w:color="auto"/>
        <w:bottom w:val="none" w:sz="0" w:space="0" w:color="auto"/>
        <w:right w:val="none" w:sz="0" w:space="0" w:color="auto"/>
      </w:divBdr>
    </w:div>
    <w:div w:id="787315246">
      <w:bodyDiv w:val="1"/>
      <w:marLeft w:val="0"/>
      <w:marRight w:val="0"/>
      <w:marTop w:val="0"/>
      <w:marBottom w:val="0"/>
      <w:divBdr>
        <w:top w:val="none" w:sz="0" w:space="0" w:color="auto"/>
        <w:left w:val="none" w:sz="0" w:space="0" w:color="auto"/>
        <w:bottom w:val="none" w:sz="0" w:space="0" w:color="auto"/>
        <w:right w:val="none" w:sz="0" w:space="0" w:color="auto"/>
      </w:divBdr>
    </w:div>
    <w:div w:id="837354668">
      <w:bodyDiv w:val="1"/>
      <w:marLeft w:val="0"/>
      <w:marRight w:val="0"/>
      <w:marTop w:val="0"/>
      <w:marBottom w:val="0"/>
      <w:divBdr>
        <w:top w:val="none" w:sz="0" w:space="0" w:color="auto"/>
        <w:left w:val="none" w:sz="0" w:space="0" w:color="auto"/>
        <w:bottom w:val="none" w:sz="0" w:space="0" w:color="auto"/>
        <w:right w:val="none" w:sz="0" w:space="0" w:color="auto"/>
      </w:divBdr>
    </w:div>
    <w:div w:id="849488530">
      <w:bodyDiv w:val="1"/>
      <w:marLeft w:val="0"/>
      <w:marRight w:val="0"/>
      <w:marTop w:val="0"/>
      <w:marBottom w:val="0"/>
      <w:divBdr>
        <w:top w:val="none" w:sz="0" w:space="0" w:color="auto"/>
        <w:left w:val="none" w:sz="0" w:space="0" w:color="auto"/>
        <w:bottom w:val="none" w:sz="0" w:space="0" w:color="auto"/>
        <w:right w:val="none" w:sz="0" w:space="0" w:color="auto"/>
      </w:divBdr>
    </w:div>
    <w:div w:id="907883410">
      <w:bodyDiv w:val="1"/>
      <w:marLeft w:val="0"/>
      <w:marRight w:val="0"/>
      <w:marTop w:val="0"/>
      <w:marBottom w:val="0"/>
      <w:divBdr>
        <w:top w:val="none" w:sz="0" w:space="0" w:color="auto"/>
        <w:left w:val="none" w:sz="0" w:space="0" w:color="auto"/>
        <w:bottom w:val="none" w:sz="0" w:space="0" w:color="auto"/>
        <w:right w:val="none" w:sz="0" w:space="0" w:color="auto"/>
      </w:divBdr>
      <w:divsChild>
        <w:div w:id="1363632254">
          <w:marLeft w:val="150"/>
          <w:marRight w:val="0"/>
          <w:marTop w:val="0"/>
          <w:marBottom w:val="0"/>
          <w:divBdr>
            <w:top w:val="none" w:sz="0" w:space="0" w:color="auto"/>
            <w:left w:val="none" w:sz="0" w:space="0" w:color="auto"/>
            <w:bottom w:val="none" w:sz="0" w:space="0" w:color="auto"/>
            <w:right w:val="single" w:sz="6" w:space="8" w:color="0469A3"/>
          </w:divBdr>
          <w:divsChild>
            <w:div w:id="1719012538">
              <w:marLeft w:val="0"/>
              <w:marRight w:val="0"/>
              <w:marTop w:val="0"/>
              <w:marBottom w:val="0"/>
              <w:divBdr>
                <w:top w:val="none" w:sz="0" w:space="0" w:color="auto"/>
                <w:left w:val="none" w:sz="0" w:space="0" w:color="auto"/>
                <w:bottom w:val="none" w:sz="0" w:space="0" w:color="auto"/>
                <w:right w:val="none" w:sz="0" w:space="0" w:color="auto"/>
              </w:divBdr>
              <w:divsChild>
                <w:div w:id="13684897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37058060">
      <w:bodyDiv w:val="1"/>
      <w:marLeft w:val="0"/>
      <w:marRight w:val="0"/>
      <w:marTop w:val="0"/>
      <w:marBottom w:val="0"/>
      <w:divBdr>
        <w:top w:val="none" w:sz="0" w:space="0" w:color="auto"/>
        <w:left w:val="none" w:sz="0" w:space="0" w:color="auto"/>
        <w:bottom w:val="none" w:sz="0" w:space="0" w:color="auto"/>
        <w:right w:val="none" w:sz="0" w:space="0" w:color="auto"/>
      </w:divBdr>
    </w:div>
    <w:div w:id="996490989">
      <w:bodyDiv w:val="1"/>
      <w:marLeft w:val="0"/>
      <w:marRight w:val="0"/>
      <w:marTop w:val="0"/>
      <w:marBottom w:val="0"/>
      <w:divBdr>
        <w:top w:val="none" w:sz="0" w:space="0" w:color="auto"/>
        <w:left w:val="none" w:sz="0" w:space="0" w:color="auto"/>
        <w:bottom w:val="none" w:sz="0" w:space="0" w:color="auto"/>
        <w:right w:val="none" w:sz="0" w:space="0" w:color="auto"/>
      </w:divBdr>
    </w:div>
    <w:div w:id="998270122">
      <w:bodyDiv w:val="1"/>
      <w:marLeft w:val="0"/>
      <w:marRight w:val="0"/>
      <w:marTop w:val="0"/>
      <w:marBottom w:val="0"/>
      <w:divBdr>
        <w:top w:val="none" w:sz="0" w:space="0" w:color="auto"/>
        <w:left w:val="none" w:sz="0" w:space="0" w:color="auto"/>
        <w:bottom w:val="none" w:sz="0" w:space="0" w:color="auto"/>
        <w:right w:val="none" w:sz="0" w:space="0" w:color="auto"/>
      </w:divBdr>
    </w:div>
    <w:div w:id="1006128647">
      <w:bodyDiv w:val="1"/>
      <w:marLeft w:val="0"/>
      <w:marRight w:val="0"/>
      <w:marTop w:val="0"/>
      <w:marBottom w:val="0"/>
      <w:divBdr>
        <w:top w:val="none" w:sz="0" w:space="0" w:color="auto"/>
        <w:left w:val="none" w:sz="0" w:space="0" w:color="auto"/>
        <w:bottom w:val="none" w:sz="0" w:space="0" w:color="auto"/>
        <w:right w:val="none" w:sz="0" w:space="0" w:color="auto"/>
      </w:divBdr>
    </w:div>
    <w:div w:id="1203251407">
      <w:bodyDiv w:val="1"/>
      <w:marLeft w:val="0"/>
      <w:marRight w:val="0"/>
      <w:marTop w:val="0"/>
      <w:marBottom w:val="0"/>
      <w:divBdr>
        <w:top w:val="none" w:sz="0" w:space="0" w:color="auto"/>
        <w:left w:val="none" w:sz="0" w:space="0" w:color="auto"/>
        <w:bottom w:val="none" w:sz="0" w:space="0" w:color="auto"/>
        <w:right w:val="none" w:sz="0" w:space="0" w:color="auto"/>
      </w:divBdr>
      <w:divsChild>
        <w:div w:id="1267738942">
          <w:blockQuote w:val="1"/>
          <w:marLeft w:val="600"/>
          <w:marRight w:val="600"/>
          <w:marTop w:val="240"/>
          <w:marBottom w:val="240"/>
          <w:divBdr>
            <w:top w:val="none" w:sz="0" w:space="0" w:color="auto"/>
            <w:left w:val="none" w:sz="0" w:space="0" w:color="auto"/>
            <w:bottom w:val="none" w:sz="0" w:space="0" w:color="auto"/>
            <w:right w:val="none" w:sz="0" w:space="0" w:color="auto"/>
          </w:divBdr>
        </w:div>
        <w:div w:id="190608653">
          <w:blockQuote w:val="1"/>
          <w:marLeft w:val="600"/>
          <w:marRight w:val="600"/>
          <w:marTop w:val="240"/>
          <w:marBottom w:val="240"/>
          <w:divBdr>
            <w:top w:val="none" w:sz="0" w:space="0" w:color="auto"/>
            <w:left w:val="none" w:sz="0" w:space="0" w:color="auto"/>
            <w:bottom w:val="none" w:sz="0" w:space="0" w:color="auto"/>
            <w:right w:val="none" w:sz="0" w:space="0" w:color="auto"/>
          </w:divBdr>
        </w:div>
        <w:div w:id="2255888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221555026">
      <w:bodyDiv w:val="1"/>
      <w:marLeft w:val="0"/>
      <w:marRight w:val="0"/>
      <w:marTop w:val="0"/>
      <w:marBottom w:val="0"/>
      <w:divBdr>
        <w:top w:val="none" w:sz="0" w:space="0" w:color="auto"/>
        <w:left w:val="none" w:sz="0" w:space="0" w:color="auto"/>
        <w:bottom w:val="none" w:sz="0" w:space="0" w:color="auto"/>
        <w:right w:val="none" w:sz="0" w:space="0" w:color="auto"/>
      </w:divBdr>
    </w:div>
    <w:div w:id="1241528069">
      <w:bodyDiv w:val="1"/>
      <w:marLeft w:val="0"/>
      <w:marRight w:val="0"/>
      <w:marTop w:val="0"/>
      <w:marBottom w:val="0"/>
      <w:divBdr>
        <w:top w:val="none" w:sz="0" w:space="0" w:color="auto"/>
        <w:left w:val="none" w:sz="0" w:space="0" w:color="auto"/>
        <w:bottom w:val="none" w:sz="0" w:space="0" w:color="auto"/>
        <w:right w:val="none" w:sz="0" w:space="0" w:color="auto"/>
      </w:divBdr>
    </w:div>
    <w:div w:id="1367756360">
      <w:bodyDiv w:val="1"/>
      <w:marLeft w:val="0"/>
      <w:marRight w:val="0"/>
      <w:marTop w:val="0"/>
      <w:marBottom w:val="0"/>
      <w:divBdr>
        <w:top w:val="none" w:sz="0" w:space="0" w:color="auto"/>
        <w:left w:val="none" w:sz="0" w:space="0" w:color="auto"/>
        <w:bottom w:val="none" w:sz="0" w:space="0" w:color="auto"/>
        <w:right w:val="none" w:sz="0" w:space="0" w:color="auto"/>
      </w:divBdr>
    </w:div>
    <w:div w:id="1453595038">
      <w:bodyDiv w:val="1"/>
      <w:marLeft w:val="0"/>
      <w:marRight w:val="0"/>
      <w:marTop w:val="0"/>
      <w:marBottom w:val="0"/>
      <w:divBdr>
        <w:top w:val="none" w:sz="0" w:space="0" w:color="auto"/>
        <w:left w:val="none" w:sz="0" w:space="0" w:color="auto"/>
        <w:bottom w:val="none" w:sz="0" w:space="0" w:color="auto"/>
        <w:right w:val="none" w:sz="0" w:space="0" w:color="auto"/>
      </w:divBdr>
    </w:div>
    <w:div w:id="1563563648">
      <w:bodyDiv w:val="1"/>
      <w:marLeft w:val="0"/>
      <w:marRight w:val="0"/>
      <w:marTop w:val="0"/>
      <w:marBottom w:val="0"/>
      <w:divBdr>
        <w:top w:val="none" w:sz="0" w:space="0" w:color="auto"/>
        <w:left w:val="none" w:sz="0" w:space="0" w:color="auto"/>
        <w:bottom w:val="none" w:sz="0" w:space="0" w:color="auto"/>
        <w:right w:val="none" w:sz="0" w:space="0" w:color="auto"/>
      </w:divBdr>
    </w:div>
    <w:div w:id="1565020747">
      <w:bodyDiv w:val="1"/>
      <w:marLeft w:val="0"/>
      <w:marRight w:val="0"/>
      <w:marTop w:val="0"/>
      <w:marBottom w:val="0"/>
      <w:divBdr>
        <w:top w:val="none" w:sz="0" w:space="0" w:color="auto"/>
        <w:left w:val="none" w:sz="0" w:space="0" w:color="auto"/>
        <w:bottom w:val="none" w:sz="0" w:space="0" w:color="auto"/>
        <w:right w:val="none" w:sz="0" w:space="0" w:color="auto"/>
      </w:divBdr>
    </w:div>
    <w:div w:id="1665818683">
      <w:bodyDiv w:val="1"/>
      <w:marLeft w:val="0"/>
      <w:marRight w:val="0"/>
      <w:marTop w:val="0"/>
      <w:marBottom w:val="0"/>
      <w:divBdr>
        <w:top w:val="none" w:sz="0" w:space="0" w:color="auto"/>
        <w:left w:val="none" w:sz="0" w:space="0" w:color="auto"/>
        <w:bottom w:val="none" w:sz="0" w:space="0" w:color="auto"/>
        <w:right w:val="none" w:sz="0" w:space="0" w:color="auto"/>
      </w:divBdr>
      <w:divsChild>
        <w:div w:id="1370062342">
          <w:blockQuote w:val="1"/>
          <w:marLeft w:val="600"/>
          <w:marRight w:val="600"/>
          <w:marTop w:val="240"/>
          <w:marBottom w:val="240"/>
          <w:divBdr>
            <w:top w:val="none" w:sz="0" w:space="0" w:color="auto"/>
            <w:left w:val="none" w:sz="0" w:space="0" w:color="auto"/>
            <w:bottom w:val="none" w:sz="0" w:space="0" w:color="auto"/>
            <w:right w:val="none" w:sz="0" w:space="0" w:color="auto"/>
          </w:divBdr>
        </w:div>
        <w:div w:id="683364771">
          <w:blockQuote w:val="1"/>
          <w:marLeft w:val="600"/>
          <w:marRight w:val="600"/>
          <w:marTop w:val="240"/>
          <w:marBottom w:val="240"/>
          <w:divBdr>
            <w:top w:val="none" w:sz="0" w:space="0" w:color="auto"/>
            <w:left w:val="none" w:sz="0" w:space="0" w:color="auto"/>
            <w:bottom w:val="none" w:sz="0" w:space="0" w:color="auto"/>
            <w:right w:val="none" w:sz="0" w:space="0" w:color="auto"/>
          </w:divBdr>
        </w:div>
        <w:div w:id="42434939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791312741">
      <w:bodyDiv w:val="1"/>
      <w:marLeft w:val="0"/>
      <w:marRight w:val="0"/>
      <w:marTop w:val="0"/>
      <w:marBottom w:val="0"/>
      <w:divBdr>
        <w:top w:val="none" w:sz="0" w:space="0" w:color="auto"/>
        <w:left w:val="none" w:sz="0" w:space="0" w:color="auto"/>
        <w:bottom w:val="none" w:sz="0" w:space="0" w:color="auto"/>
        <w:right w:val="none" w:sz="0" w:space="0" w:color="auto"/>
      </w:divBdr>
    </w:div>
    <w:div w:id="2014184872">
      <w:bodyDiv w:val="1"/>
      <w:marLeft w:val="0"/>
      <w:marRight w:val="0"/>
      <w:marTop w:val="0"/>
      <w:marBottom w:val="0"/>
      <w:divBdr>
        <w:top w:val="none" w:sz="0" w:space="0" w:color="auto"/>
        <w:left w:val="none" w:sz="0" w:space="0" w:color="auto"/>
        <w:bottom w:val="none" w:sz="0" w:space="0" w:color="auto"/>
        <w:right w:val="none" w:sz="0" w:space="0" w:color="auto"/>
      </w:divBdr>
    </w:div>
    <w:div w:id="21144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bi.org.in/Scripts/BS_ViewMasDirections.aspx?id=11510" TargetMode="External"/><Relationship Id="rId18" Type="http://schemas.openxmlformats.org/officeDocument/2006/relationships/hyperlink" Target="https://www.rbi.org.in/Scripts/BS_PressReleaseDisplay.aspx?prid=53979" TargetMode="External"/><Relationship Id="rId26" Type="http://schemas.openxmlformats.org/officeDocument/2006/relationships/hyperlink" Target="https://m.rbi.org.in/Scripts/BS_PressReleaseDisplay.aspx?prid=54149" TargetMode="External"/><Relationship Id="rId39" Type="http://schemas.openxmlformats.org/officeDocument/2006/relationships/hyperlink" Target="https://rbi.org.in/Scripts/NotificationUser.aspx?Id=10257&amp;Mode=0" TargetMode="External"/><Relationship Id="rId21" Type="http://schemas.openxmlformats.org/officeDocument/2006/relationships/hyperlink" Target="https://www.rbi.org.in/Scripts/BS_PressReleaseDisplay.aspx?prid=32614" TargetMode="External"/><Relationship Id="rId34" Type="http://schemas.openxmlformats.org/officeDocument/2006/relationships/hyperlink" Target="https://rbidocs.rbi.org.in/rdocs/content/pdfs/GazetteRules23082022.pdf" TargetMode="External"/><Relationship Id="rId42" Type="http://schemas.openxmlformats.org/officeDocument/2006/relationships/hyperlink" Target="https://rbi.org.in/Scripts/BS_ViewMasDirections.aspx?id=10394" TargetMode="External"/><Relationship Id="rId47" Type="http://schemas.openxmlformats.org/officeDocument/2006/relationships/hyperlink" Target="https://www.rbi.org.in/Scripts/BS_ViewMasDirections.aspx?id=10202" TargetMode="External"/><Relationship Id="rId50" Type="http://schemas.openxmlformats.org/officeDocument/2006/relationships/hyperlink" Target="https://rbi.org.in/Scripts/NotificationUser.aspx?Id=12402&amp;Mode=0" TargetMode="External"/><Relationship Id="rId55" Type="http://schemas.openxmlformats.org/officeDocument/2006/relationships/hyperlink" Target="https://m.rbi.org.in/Scripts/NotificationUser.aspx?Id=11601&amp;Mode=0" TargetMode="External"/><Relationship Id="rId63" Type="http://schemas.openxmlformats.org/officeDocument/2006/relationships/hyperlink" Target="https://m.rbi.org.in/Scripts/NotificationUser.aspx?Id=12428&amp;Mode=0" TargetMode="External"/><Relationship Id="rId68" Type="http://schemas.openxmlformats.org/officeDocument/2006/relationships/fontTable" Target="fontTable.xml"/><Relationship Id="rId7" Type="http://schemas.openxmlformats.org/officeDocument/2006/relationships/hyperlink" Target="https://rbi.org.in/Scripts/BS_ViewMasDirections.aspx?id=10394" TargetMode="External"/><Relationship Id="rId2" Type="http://schemas.openxmlformats.org/officeDocument/2006/relationships/numbering" Target="numbering.xml"/><Relationship Id="rId16" Type="http://schemas.openxmlformats.org/officeDocument/2006/relationships/hyperlink" Target="https://www.rbi.org.in/scripts/FS_Notification.aspx?Id=12377&amp;fn=5&amp;Mode=0" TargetMode="External"/><Relationship Id="rId29" Type="http://schemas.openxmlformats.org/officeDocument/2006/relationships/hyperlink" Target="https://m.rbi.org.in/Scripts/NotificationUser.aspx?Id=12229&amp;Mode=0" TargetMode="External"/><Relationship Id="rId1" Type="http://schemas.openxmlformats.org/officeDocument/2006/relationships/customXml" Target="../customXml/item1.xml"/><Relationship Id="rId6" Type="http://schemas.openxmlformats.org/officeDocument/2006/relationships/hyperlink" Target="https://www.rbi.org.in/Scripts/BS_ViewMasDirections.aspx?id=10296" TargetMode="External"/><Relationship Id="rId11" Type="http://schemas.openxmlformats.org/officeDocument/2006/relationships/hyperlink" Target="https://www.rbi.org.in/Scripts/BS_PressReleaseDisplay.aspx?prid=53979" TargetMode="External"/><Relationship Id="rId24" Type="http://schemas.openxmlformats.org/officeDocument/2006/relationships/hyperlink" Target="https://www.rbi.org.in/scripts/NotificationUser.aspx?Id=12373&amp;Mode=0" TargetMode="External"/><Relationship Id="rId32" Type="http://schemas.openxmlformats.org/officeDocument/2006/relationships/hyperlink" Target="https://rbidocs.rbi.org.in/rdocs/content/pdfs/GazetteRegulations230822.pdf" TargetMode="External"/><Relationship Id="rId37" Type="http://schemas.openxmlformats.org/officeDocument/2006/relationships/hyperlink" Target="https://rbi.org.in/Scripts/NotificationUser.aspx?Id=12380&amp;Mode=0" TargetMode="External"/><Relationship Id="rId40" Type="http://schemas.openxmlformats.org/officeDocument/2006/relationships/hyperlink" Target="https://www.rbi.org.in/scripts/NotificationUser.aspx?Id=12381&amp;Mode=0" TargetMode="External"/><Relationship Id="rId45" Type="http://schemas.openxmlformats.org/officeDocument/2006/relationships/hyperlink" Target="https://rbi.org.in/Scripts/NotificationUser.aspx?Id=12388&amp;Mode=0" TargetMode="External"/><Relationship Id="rId53" Type="http://schemas.openxmlformats.org/officeDocument/2006/relationships/hyperlink" Target="https://m.rbi.org.in/Scripts/NotificationUser.aspx?Id=11601&amp;Mode=0" TargetMode="External"/><Relationship Id="rId58" Type="http://schemas.openxmlformats.org/officeDocument/2006/relationships/hyperlink" Target="https://m.rbi.org.in/Scripts/NotificationUser.aspx?Id=8874&amp;Mode=0" TargetMode="External"/><Relationship Id="rId66" Type="http://schemas.openxmlformats.org/officeDocument/2006/relationships/hyperlink" Target="https://www.rbi.org.in/Scripts/BS_ViewMasDirections.aspx?id=12427" TargetMode="External"/><Relationship Id="rId5" Type="http://schemas.openxmlformats.org/officeDocument/2006/relationships/webSettings" Target="webSettings.xml"/><Relationship Id="rId15" Type="http://schemas.openxmlformats.org/officeDocument/2006/relationships/hyperlink" Target="https://rbi.org.in/Scripts/NotificationUser.aspx?Id=12358&amp;Mode=0" TargetMode="External"/><Relationship Id="rId23" Type="http://schemas.openxmlformats.org/officeDocument/2006/relationships/hyperlink" Target="https://www.rbi.org.in/scripts/NotificationUser.aspx?Id=12373&amp;Mode=0" TargetMode="External"/><Relationship Id="rId28" Type="http://schemas.openxmlformats.org/officeDocument/2006/relationships/hyperlink" Target="https://m.rbi.org.in/Scripts/NotificationUser.aspx?Id=11602&amp;Mode=0" TargetMode="External"/><Relationship Id="rId36" Type="http://schemas.openxmlformats.org/officeDocument/2006/relationships/hyperlink" Target="https://rbidocs.rbi.org.in/rdocs/content/pdfs/GazetteRules23082022.pdf" TargetMode="External"/><Relationship Id="rId49" Type="http://schemas.openxmlformats.org/officeDocument/2006/relationships/hyperlink" Target="https://www.rbi.org.in/scripts/NotificationUser.aspx?Id=12393&amp;Mode=0" TargetMode="External"/><Relationship Id="rId57" Type="http://schemas.openxmlformats.org/officeDocument/2006/relationships/hyperlink" Target="https://m.rbi.org.in/Scripts/NotificationUser.aspx?Id=4676&amp;Mode=0" TargetMode="External"/><Relationship Id="rId61" Type="http://schemas.openxmlformats.org/officeDocument/2006/relationships/hyperlink" Target="https://m.rbi.org.in/Scripts/BS_PressReleaseDisplay.aspx?prid=54818" TargetMode="External"/><Relationship Id="rId10" Type="http://schemas.openxmlformats.org/officeDocument/2006/relationships/hyperlink" Target="https://www.rbi.org.in/Scripts/BS_ViewMasDirections.aspx?id=10485" TargetMode="External"/><Relationship Id="rId19" Type="http://schemas.openxmlformats.org/officeDocument/2006/relationships/hyperlink" Target="https://rbidocs.rbi.org.in/rdocs/content/pdfs/GN3RFEMA01082022.pdf" TargetMode="External"/><Relationship Id="rId31" Type="http://schemas.openxmlformats.org/officeDocument/2006/relationships/hyperlink" Target="https://m.rbi.org.in/scripts/FS_Notification.aspx?Id=12374&amp;fn=6&amp;Mode=0" TargetMode="External"/><Relationship Id="rId44" Type="http://schemas.openxmlformats.org/officeDocument/2006/relationships/hyperlink" Target="https://rbi.org.in/Scripts/BS_ViewMasDirections.aspx?id=10394" TargetMode="External"/><Relationship Id="rId52" Type="http://schemas.openxmlformats.org/officeDocument/2006/relationships/hyperlink" Target="https://rbi.org.in/Scripts/NotificationUser.aspx?Id=12402&amp;Mode=0" TargetMode="External"/><Relationship Id="rId60" Type="http://schemas.openxmlformats.org/officeDocument/2006/relationships/hyperlink" Target="https://m.rbi.org.in/Scripts/BS_PressReleaseDisplay.aspx?prid=54819" TargetMode="External"/><Relationship Id="rId65" Type="http://schemas.openxmlformats.org/officeDocument/2006/relationships/hyperlink" Target="https://rbi.org.in/Scripts/NotificationUser.aspx?Id=179&amp;Mode=0" TargetMode="External"/><Relationship Id="rId4" Type="http://schemas.openxmlformats.org/officeDocument/2006/relationships/settings" Target="settings.xml"/><Relationship Id="rId9" Type="http://schemas.openxmlformats.org/officeDocument/2006/relationships/hyperlink" Target="https://www.rbi.org.in/Scripts/NotificationUser.aspx?Id=11441&amp;Mode=0" TargetMode="External"/><Relationship Id="rId14" Type="http://schemas.openxmlformats.org/officeDocument/2006/relationships/hyperlink" Target="https://www.rbi.org.in/scripts/NotificationUser.aspx?Id=12356&amp;Mode=0" TargetMode="External"/><Relationship Id="rId22" Type="http://schemas.openxmlformats.org/officeDocument/2006/relationships/hyperlink" Target="https://www.rbi.org.in/Scripts/BS_PressReleaseDisplay.aspx?prid=48807" TargetMode="External"/><Relationship Id="rId27" Type="http://schemas.openxmlformats.org/officeDocument/2006/relationships/hyperlink" Target="https://m.rbi.org.in/Scripts/BS_PressReleaseDisplay.aspx?prid=54148" TargetMode="External"/><Relationship Id="rId30" Type="http://schemas.openxmlformats.org/officeDocument/2006/relationships/hyperlink" Target="https://m.rbi.org.in/Scripts/NotificationUser.aspx?Id=11602&amp;Mode=0" TargetMode="External"/><Relationship Id="rId35" Type="http://schemas.openxmlformats.org/officeDocument/2006/relationships/hyperlink" Target="https://www.rbi.org.in/scripts/NotificationUser.aspx?Id=12380&amp;Mode=0" TargetMode="External"/><Relationship Id="rId43" Type="http://schemas.openxmlformats.org/officeDocument/2006/relationships/hyperlink" Target="https://rbi.org.in/Scripts/BS_ViewMasDirections.aspx?id=10296" TargetMode="External"/><Relationship Id="rId48" Type="http://schemas.openxmlformats.org/officeDocument/2006/relationships/hyperlink" Target="https://rbi.org.in/Scripts/BS_ViewMasDirections.aspx?id=11510" TargetMode="External"/><Relationship Id="rId56" Type="http://schemas.openxmlformats.org/officeDocument/2006/relationships/hyperlink" Target="https://m.rbi.org.in/scripts/FS_Notification.aspx?Id=12414&amp;fn=6&amp;Mode=0" TargetMode="External"/><Relationship Id="rId64" Type="http://schemas.openxmlformats.org/officeDocument/2006/relationships/hyperlink" Target="https://m.rbi.org.in/scripts/FS_Notification.aspx?Id=12423&amp;fn=6&amp;Mode=0" TargetMode="External"/><Relationship Id="rId69" Type="http://schemas.openxmlformats.org/officeDocument/2006/relationships/theme" Target="theme/theme1.xml"/><Relationship Id="rId8" Type="http://schemas.openxmlformats.org/officeDocument/2006/relationships/hyperlink" Target="https://rbi.org.in/Scripts/NotificationUser.aspx?Id=12350&amp;Mode=0" TargetMode="External"/><Relationship Id="rId51" Type="http://schemas.openxmlformats.org/officeDocument/2006/relationships/hyperlink" Target="https://rbi.org.in/Scripts/NotificationUser.aspx?Id=12402&amp;Mode=0" TargetMode="External"/><Relationship Id="rId3" Type="http://schemas.openxmlformats.org/officeDocument/2006/relationships/styles" Target="styles.xml"/><Relationship Id="rId12" Type="http://schemas.openxmlformats.org/officeDocument/2006/relationships/hyperlink" Target="https://www.rbi.org.in/Scripts/BS_ViewMasDirections.aspx?id=10485" TargetMode="External"/><Relationship Id="rId17" Type="http://schemas.openxmlformats.org/officeDocument/2006/relationships/hyperlink" Target="https://rbi.org.in/Scripts/BS_ViewMasDirections.aspx?id=11510" TargetMode="External"/><Relationship Id="rId25" Type="http://schemas.openxmlformats.org/officeDocument/2006/relationships/hyperlink" Target="https://www.rbi.org.in/scripts/NotificationUser.aspx?Id=12373&amp;Mode=0" TargetMode="External"/><Relationship Id="rId33" Type="http://schemas.openxmlformats.org/officeDocument/2006/relationships/hyperlink" Target="https://rbidocs.rbi.org.in/rdocs/content/pdfs/GazetteRules23082022.pdf" TargetMode="External"/><Relationship Id="rId38" Type="http://schemas.openxmlformats.org/officeDocument/2006/relationships/hyperlink" Target="https://rbi.org.in/Scripts/NotificationUser.aspx?Id=2126&amp;Mode=0" TargetMode="External"/><Relationship Id="rId46" Type="http://schemas.openxmlformats.org/officeDocument/2006/relationships/hyperlink" Target="https://rbi.org.in/Scripts/NotificationUser.aspx?Id=12388&amp;Mode=0" TargetMode="External"/><Relationship Id="rId59" Type="http://schemas.openxmlformats.org/officeDocument/2006/relationships/hyperlink" Target="https://m.rbi.org.in/scripts/FS_Notification.aspx?Id=12417&amp;fn=14&amp;Mode=0" TargetMode="External"/><Relationship Id="rId67" Type="http://schemas.openxmlformats.org/officeDocument/2006/relationships/hyperlink" Target="https://www.rbi.org.in/Scripts/BS_ViewMasDirections.aspx?id=12427" TargetMode="External"/><Relationship Id="rId20" Type="http://schemas.openxmlformats.org/officeDocument/2006/relationships/hyperlink" Target="https://www.rbi.org.in/Scripts/NotificationUser.aspx?Id=12366&amp;Mode=0" TargetMode="External"/><Relationship Id="rId41" Type="http://schemas.openxmlformats.org/officeDocument/2006/relationships/hyperlink" Target="https://rbi.org.in/Scripts/BS_ViewMasDirections.aspx?id=10296" TargetMode="External"/><Relationship Id="rId54" Type="http://schemas.openxmlformats.org/officeDocument/2006/relationships/hyperlink" Target="https://m.rbi.org.in/Scripts/NotificationUser.aspx?Id=11777&amp;Mode=0" TargetMode="External"/><Relationship Id="rId62" Type="http://schemas.openxmlformats.org/officeDocument/2006/relationships/hyperlink" Target="https://m.rbi.org.in/Scripts/NotificationUser.aspx?Id=11226&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C67A5-ADCF-4A2B-A30B-6B6FE14D3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17</Pages>
  <Words>5832</Words>
  <Characters>33244</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47</cp:revision>
  <dcterms:created xsi:type="dcterms:W3CDTF">2023-02-27T06:47:00Z</dcterms:created>
  <dcterms:modified xsi:type="dcterms:W3CDTF">2023-02-28T06:09:00Z</dcterms:modified>
</cp:coreProperties>
</file>